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45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
        <w:gridCol w:w="3538"/>
        <w:gridCol w:w="4349"/>
      </w:tblGrid>
      <w:tr w:rsidR="001E0ADA" w:rsidRPr="001E0ADA" w:rsidTr="00E334D6">
        <w:tc>
          <w:tcPr>
            <w:tcW w:w="527" w:type="dxa"/>
          </w:tcPr>
          <w:p w:rsidR="001E0ADA" w:rsidRPr="005D23EC" w:rsidRDefault="001E0ADA" w:rsidP="00E334D6">
            <w:pPr>
              <w:rPr>
                <w:szCs w:val="20"/>
              </w:rPr>
            </w:pPr>
            <w:bookmarkStart w:id="0" w:name="_GoBack"/>
            <w:bookmarkEnd w:id="0"/>
            <w:r w:rsidRPr="005D23EC">
              <w:rPr>
                <w:szCs w:val="20"/>
              </w:rPr>
              <w:t>1.</w:t>
            </w:r>
          </w:p>
        </w:tc>
        <w:tc>
          <w:tcPr>
            <w:tcW w:w="3538" w:type="dxa"/>
          </w:tcPr>
          <w:p w:rsidR="001E0ADA" w:rsidRPr="005D23EC" w:rsidRDefault="001E0ADA" w:rsidP="00E334D6">
            <w:pPr>
              <w:rPr>
                <w:szCs w:val="20"/>
              </w:rPr>
            </w:pPr>
            <w:r w:rsidRPr="005D23EC">
              <w:rPr>
                <w:szCs w:val="20"/>
              </w:rPr>
              <w:t>Unique identification code of the product-type</w:t>
            </w:r>
          </w:p>
        </w:tc>
        <w:tc>
          <w:tcPr>
            <w:tcW w:w="4349" w:type="dxa"/>
          </w:tcPr>
          <w:p w:rsidR="001E0ADA" w:rsidRPr="005D23EC" w:rsidRDefault="0005631E" w:rsidP="00E334D6">
            <w:pPr>
              <w:rPr>
                <w:szCs w:val="20"/>
              </w:rPr>
            </w:pPr>
            <w:proofErr w:type="spellStart"/>
            <w:r>
              <w:rPr>
                <w:b/>
                <w:szCs w:val="20"/>
              </w:rPr>
              <w:t>BauderROCK</w:t>
            </w:r>
            <w:proofErr w:type="spellEnd"/>
          </w:p>
        </w:tc>
      </w:tr>
      <w:tr w:rsidR="001E0ADA" w:rsidRPr="001E0ADA" w:rsidTr="00E334D6">
        <w:tc>
          <w:tcPr>
            <w:tcW w:w="527" w:type="dxa"/>
          </w:tcPr>
          <w:p w:rsidR="001E0ADA" w:rsidRPr="005D23EC" w:rsidRDefault="001E0ADA" w:rsidP="00E334D6">
            <w:pPr>
              <w:rPr>
                <w:szCs w:val="20"/>
              </w:rPr>
            </w:pPr>
            <w:r w:rsidRPr="005D23EC">
              <w:rPr>
                <w:szCs w:val="20"/>
              </w:rPr>
              <w:t>2.</w:t>
            </w:r>
          </w:p>
        </w:tc>
        <w:tc>
          <w:tcPr>
            <w:tcW w:w="3538" w:type="dxa"/>
          </w:tcPr>
          <w:p w:rsidR="001E0ADA" w:rsidRPr="005D23EC" w:rsidRDefault="001E0ADA" w:rsidP="00044C1F">
            <w:pPr>
              <w:rPr>
                <w:szCs w:val="20"/>
              </w:rPr>
            </w:pPr>
            <w:r w:rsidRPr="005D23EC">
              <w:rPr>
                <w:szCs w:val="20"/>
              </w:rPr>
              <w:t xml:space="preserve">Type, </w:t>
            </w:r>
            <w:r w:rsidR="00044C1F">
              <w:rPr>
                <w:szCs w:val="20"/>
              </w:rPr>
              <w:t>and</w:t>
            </w:r>
            <w:r w:rsidRPr="005D23EC">
              <w:rPr>
                <w:szCs w:val="20"/>
              </w:rPr>
              <w:t xml:space="preserve"> serial number allowing identification of the product </w:t>
            </w:r>
          </w:p>
        </w:tc>
        <w:tc>
          <w:tcPr>
            <w:tcW w:w="4349" w:type="dxa"/>
          </w:tcPr>
          <w:p w:rsidR="001E0ADA" w:rsidRPr="005D23EC" w:rsidRDefault="001E0ADA" w:rsidP="00044C1F">
            <w:pPr>
              <w:rPr>
                <w:szCs w:val="20"/>
              </w:rPr>
            </w:pPr>
            <w:r w:rsidRPr="005D23EC">
              <w:rPr>
                <w:b/>
                <w:szCs w:val="20"/>
              </w:rPr>
              <w:t xml:space="preserve">See product label </w:t>
            </w:r>
            <w:r w:rsidR="00432EB8" w:rsidRPr="005D23EC">
              <w:rPr>
                <w:b/>
                <w:szCs w:val="20"/>
              </w:rPr>
              <w:t xml:space="preserve">for </w:t>
            </w:r>
            <w:proofErr w:type="spellStart"/>
            <w:r w:rsidR="00432EB8" w:rsidRPr="005D23EC">
              <w:rPr>
                <w:b/>
                <w:szCs w:val="20"/>
              </w:rPr>
              <w:t>BauderROCK</w:t>
            </w:r>
            <w:proofErr w:type="spellEnd"/>
            <w:r w:rsidR="00432EB8" w:rsidRPr="005D23EC">
              <w:rPr>
                <w:b/>
                <w:szCs w:val="20"/>
              </w:rPr>
              <w:t xml:space="preserve"> Insulation.</w:t>
            </w:r>
          </w:p>
        </w:tc>
      </w:tr>
      <w:tr w:rsidR="001E0ADA" w:rsidRPr="001E0ADA" w:rsidTr="00E334D6">
        <w:tc>
          <w:tcPr>
            <w:tcW w:w="527" w:type="dxa"/>
          </w:tcPr>
          <w:p w:rsidR="001E0ADA" w:rsidRPr="005D23EC" w:rsidRDefault="001E0ADA" w:rsidP="00E334D6">
            <w:pPr>
              <w:rPr>
                <w:szCs w:val="20"/>
              </w:rPr>
            </w:pPr>
            <w:r w:rsidRPr="005D23EC">
              <w:rPr>
                <w:szCs w:val="20"/>
              </w:rPr>
              <w:t>3.</w:t>
            </w:r>
          </w:p>
        </w:tc>
        <w:tc>
          <w:tcPr>
            <w:tcW w:w="3538" w:type="dxa"/>
          </w:tcPr>
          <w:p w:rsidR="001E0ADA" w:rsidRPr="005D23EC" w:rsidRDefault="001E0ADA" w:rsidP="00044C1F">
            <w:pPr>
              <w:rPr>
                <w:szCs w:val="20"/>
              </w:rPr>
            </w:pPr>
            <w:r w:rsidRPr="005D23EC">
              <w:rPr>
                <w:szCs w:val="20"/>
              </w:rPr>
              <w:t>Intended use of the construction product, in accordance with the applicable harmonised technical specification, as foreseen by the manufacturer</w:t>
            </w:r>
          </w:p>
        </w:tc>
        <w:tc>
          <w:tcPr>
            <w:tcW w:w="4349" w:type="dxa"/>
          </w:tcPr>
          <w:p w:rsidR="001E0ADA" w:rsidRPr="005D23EC" w:rsidRDefault="001E0ADA" w:rsidP="00E334D6">
            <w:pPr>
              <w:rPr>
                <w:b/>
                <w:szCs w:val="20"/>
              </w:rPr>
            </w:pPr>
            <w:r w:rsidRPr="005D23EC">
              <w:rPr>
                <w:b/>
                <w:szCs w:val="20"/>
              </w:rPr>
              <w:t>Thermal insulation for buildings</w:t>
            </w:r>
          </w:p>
          <w:p w:rsidR="001E0ADA" w:rsidRPr="005D23EC" w:rsidRDefault="001E0ADA" w:rsidP="00E334D6">
            <w:pPr>
              <w:rPr>
                <w:szCs w:val="20"/>
              </w:rPr>
            </w:pPr>
          </w:p>
        </w:tc>
      </w:tr>
      <w:tr w:rsidR="001E0ADA" w:rsidRPr="001E0ADA" w:rsidTr="00E334D6">
        <w:tc>
          <w:tcPr>
            <w:tcW w:w="527" w:type="dxa"/>
          </w:tcPr>
          <w:p w:rsidR="001E0ADA" w:rsidRPr="005D23EC" w:rsidRDefault="001E0ADA" w:rsidP="00E334D6">
            <w:pPr>
              <w:rPr>
                <w:szCs w:val="20"/>
              </w:rPr>
            </w:pPr>
            <w:r w:rsidRPr="005D23EC">
              <w:rPr>
                <w:szCs w:val="20"/>
              </w:rPr>
              <w:t>4.</w:t>
            </w:r>
          </w:p>
        </w:tc>
        <w:tc>
          <w:tcPr>
            <w:tcW w:w="3538" w:type="dxa"/>
          </w:tcPr>
          <w:p w:rsidR="001E0ADA" w:rsidRPr="005D23EC" w:rsidRDefault="001E0ADA" w:rsidP="00E334D6">
            <w:pPr>
              <w:rPr>
                <w:szCs w:val="20"/>
              </w:rPr>
            </w:pPr>
            <w:r w:rsidRPr="005D23EC">
              <w:rPr>
                <w:szCs w:val="20"/>
              </w:rPr>
              <w:t>Name, registered trade name or registered trade mark and contact address of the manufacturer as required pursuant to Article 11(5)</w:t>
            </w:r>
          </w:p>
        </w:tc>
        <w:tc>
          <w:tcPr>
            <w:tcW w:w="4349" w:type="dxa"/>
          </w:tcPr>
          <w:p w:rsidR="001E0ADA" w:rsidRPr="005D23EC" w:rsidRDefault="00E334D6" w:rsidP="00E334D6">
            <w:pPr>
              <w:rPr>
                <w:b/>
                <w:szCs w:val="20"/>
              </w:rPr>
            </w:pPr>
            <w:proofErr w:type="spellStart"/>
            <w:r w:rsidRPr="005D23EC">
              <w:rPr>
                <w:b/>
                <w:szCs w:val="20"/>
              </w:rPr>
              <w:t>Bauder</w:t>
            </w:r>
            <w:proofErr w:type="spellEnd"/>
            <w:r w:rsidRPr="005D23EC">
              <w:rPr>
                <w:b/>
                <w:szCs w:val="20"/>
              </w:rPr>
              <w:t xml:space="preserve"> Limited</w:t>
            </w:r>
          </w:p>
          <w:p w:rsidR="00E334D6" w:rsidRPr="005D23EC" w:rsidRDefault="00E334D6" w:rsidP="00E334D6">
            <w:pPr>
              <w:rPr>
                <w:b/>
                <w:szCs w:val="20"/>
              </w:rPr>
            </w:pPr>
            <w:r w:rsidRPr="005D23EC">
              <w:rPr>
                <w:b/>
                <w:szCs w:val="20"/>
              </w:rPr>
              <w:t>70 Landseer Road</w:t>
            </w:r>
          </w:p>
          <w:p w:rsidR="00E334D6" w:rsidRPr="005D23EC" w:rsidRDefault="00E334D6" w:rsidP="00E334D6">
            <w:pPr>
              <w:rPr>
                <w:b/>
                <w:szCs w:val="20"/>
              </w:rPr>
            </w:pPr>
            <w:r w:rsidRPr="005D23EC">
              <w:rPr>
                <w:b/>
                <w:szCs w:val="20"/>
              </w:rPr>
              <w:t>Ipswich</w:t>
            </w:r>
          </w:p>
          <w:p w:rsidR="00E334D6" w:rsidRPr="005D23EC" w:rsidRDefault="00E334D6" w:rsidP="00E334D6">
            <w:pPr>
              <w:rPr>
                <w:b/>
                <w:szCs w:val="20"/>
              </w:rPr>
            </w:pPr>
            <w:r w:rsidRPr="005D23EC">
              <w:rPr>
                <w:b/>
                <w:szCs w:val="20"/>
              </w:rPr>
              <w:t>IP3 0DH</w:t>
            </w:r>
          </w:p>
        </w:tc>
      </w:tr>
      <w:tr w:rsidR="0005631E" w:rsidRPr="001E0ADA" w:rsidTr="00E334D6">
        <w:tc>
          <w:tcPr>
            <w:tcW w:w="527" w:type="dxa"/>
          </w:tcPr>
          <w:p w:rsidR="0005631E" w:rsidRPr="005D23EC" w:rsidRDefault="0005631E" w:rsidP="00E334D6">
            <w:pPr>
              <w:rPr>
                <w:szCs w:val="20"/>
              </w:rPr>
            </w:pPr>
            <w:r>
              <w:rPr>
                <w:szCs w:val="20"/>
              </w:rPr>
              <w:t>5.</w:t>
            </w:r>
          </w:p>
        </w:tc>
        <w:tc>
          <w:tcPr>
            <w:tcW w:w="3538" w:type="dxa"/>
          </w:tcPr>
          <w:p w:rsidR="0005631E" w:rsidRPr="005D23EC" w:rsidRDefault="0005631E" w:rsidP="00E334D6">
            <w:pPr>
              <w:rPr>
                <w:szCs w:val="20"/>
              </w:rPr>
            </w:pPr>
            <w:r>
              <w:rPr>
                <w:szCs w:val="20"/>
              </w:rPr>
              <w:t>Where applicable, name and contact address of the authorised representative whose mandate covers the tasks specified in Article 12(2)</w:t>
            </w:r>
          </w:p>
        </w:tc>
        <w:tc>
          <w:tcPr>
            <w:tcW w:w="4349" w:type="dxa"/>
          </w:tcPr>
          <w:p w:rsidR="0005631E" w:rsidRPr="005D23EC" w:rsidRDefault="0005631E" w:rsidP="00E334D6">
            <w:pPr>
              <w:rPr>
                <w:b/>
                <w:szCs w:val="20"/>
              </w:rPr>
            </w:pPr>
            <w:r>
              <w:rPr>
                <w:b/>
                <w:szCs w:val="20"/>
              </w:rPr>
              <w:t>Not relevant</w:t>
            </w:r>
          </w:p>
        </w:tc>
      </w:tr>
      <w:tr w:rsidR="001E0ADA" w:rsidRPr="001E0ADA" w:rsidTr="00E334D6">
        <w:tc>
          <w:tcPr>
            <w:tcW w:w="527" w:type="dxa"/>
          </w:tcPr>
          <w:p w:rsidR="001E0ADA" w:rsidRPr="005D23EC" w:rsidRDefault="0005631E" w:rsidP="00E334D6">
            <w:pPr>
              <w:rPr>
                <w:szCs w:val="20"/>
              </w:rPr>
            </w:pPr>
            <w:r>
              <w:rPr>
                <w:szCs w:val="20"/>
              </w:rPr>
              <w:t>6</w:t>
            </w:r>
            <w:r w:rsidR="001E0ADA" w:rsidRPr="005D23EC">
              <w:rPr>
                <w:szCs w:val="20"/>
              </w:rPr>
              <w:t>.</w:t>
            </w:r>
          </w:p>
        </w:tc>
        <w:tc>
          <w:tcPr>
            <w:tcW w:w="3538" w:type="dxa"/>
          </w:tcPr>
          <w:p w:rsidR="001E0ADA" w:rsidRPr="005D23EC" w:rsidRDefault="0005631E" w:rsidP="00432EB8">
            <w:pPr>
              <w:rPr>
                <w:szCs w:val="20"/>
              </w:rPr>
            </w:pPr>
            <w:r>
              <w:rPr>
                <w:szCs w:val="20"/>
              </w:rPr>
              <w:t>System or systems of assessment and verification of constancy of performance of the construction product as set out in Annex V</w:t>
            </w:r>
          </w:p>
        </w:tc>
        <w:tc>
          <w:tcPr>
            <w:tcW w:w="4349" w:type="dxa"/>
          </w:tcPr>
          <w:p w:rsidR="001E0ADA" w:rsidRPr="005D23EC" w:rsidRDefault="00432EB8" w:rsidP="00E334D6">
            <w:pPr>
              <w:rPr>
                <w:szCs w:val="20"/>
              </w:rPr>
            </w:pPr>
            <w:r w:rsidRPr="005D23EC">
              <w:rPr>
                <w:b/>
                <w:szCs w:val="20"/>
              </w:rPr>
              <w:t xml:space="preserve">System 1 + and </w:t>
            </w:r>
            <w:r w:rsidR="001E0ADA" w:rsidRPr="005D23EC">
              <w:rPr>
                <w:b/>
                <w:szCs w:val="20"/>
              </w:rPr>
              <w:t>System 3</w:t>
            </w:r>
          </w:p>
        </w:tc>
      </w:tr>
      <w:tr w:rsidR="001E0ADA" w:rsidRPr="001E0ADA" w:rsidTr="00E334D6">
        <w:tc>
          <w:tcPr>
            <w:tcW w:w="527" w:type="dxa"/>
          </w:tcPr>
          <w:p w:rsidR="001E0ADA" w:rsidRPr="005D23EC" w:rsidRDefault="0005631E" w:rsidP="00E334D6">
            <w:pPr>
              <w:rPr>
                <w:szCs w:val="20"/>
              </w:rPr>
            </w:pPr>
            <w:r>
              <w:rPr>
                <w:szCs w:val="20"/>
              </w:rPr>
              <w:t>7</w:t>
            </w:r>
            <w:r w:rsidR="001E0ADA" w:rsidRPr="005D23EC">
              <w:rPr>
                <w:szCs w:val="20"/>
              </w:rPr>
              <w:t>.</w:t>
            </w:r>
          </w:p>
        </w:tc>
        <w:tc>
          <w:tcPr>
            <w:tcW w:w="3538" w:type="dxa"/>
          </w:tcPr>
          <w:p w:rsidR="001E0ADA" w:rsidRPr="005D23EC" w:rsidRDefault="001E0ADA" w:rsidP="00E334D6">
            <w:pPr>
              <w:rPr>
                <w:szCs w:val="20"/>
              </w:rPr>
            </w:pPr>
            <w:r w:rsidRPr="009746A0">
              <w:rPr>
                <w:szCs w:val="20"/>
              </w:rPr>
              <w:t>In case of the declaration of performance concerning a construction product covered by a harmonised standard</w:t>
            </w:r>
          </w:p>
        </w:tc>
        <w:tc>
          <w:tcPr>
            <w:tcW w:w="4349" w:type="dxa"/>
          </w:tcPr>
          <w:p w:rsidR="0005631E" w:rsidRDefault="0005631E" w:rsidP="00E334D6">
            <w:pPr>
              <w:rPr>
                <w:b/>
                <w:szCs w:val="20"/>
              </w:rPr>
            </w:pPr>
            <w:r>
              <w:rPr>
                <w:b/>
                <w:szCs w:val="20"/>
              </w:rPr>
              <w:t>EN 13162:2012</w:t>
            </w:r>
          </w:p>
          <w:p w:rsidR="001E0ADA" w:rsidRPr="005D23EC" w:rsidRDefault="00432EB8" w:rsidP="00E334D6">
            <w:pPr>
              <w:rPr>
                <w:szCs w:val="20"/>
                <w:lang w:val="cs-CZ"/>
              </w:rPr>
            </w:pPr>
            <w:r w:rsidRPr="005D23EC">
              <w:rPr>
                <w:b/>
                <w:szCs w:val="20"/>
              </w:rPr>
              <w:t>Notified Certification body No. 0086 performed, carried out the initial type testing, the initial inspection of the manufacturing plant and of factory production control and the continuous surveillance, assessment and evaluation of factory production control and iss</w:t>
            </w:r>
            <w:r w:rsidR="00F3193B" w:rsidRPr="005D23EC">
              <w:rPr>
                <w:b/>
                <w:szCs w:val="20"/>
              </w:rPr>
              <w:t>ues the Certificate of Constanc</w:t>
            </w:r>
            <w:r w:rsidRPr="005D23EC">
              <w:rPr>
                <w:b/>
                <w:szCs w:val="20"/>
              </w:rPr>
              <w:t>y of Performance 0086_CPR_461281.</w:t>
            </w:r>
          </w:p>
        </w:tc>
      </w:tr>
      <w:tr w:rsidR="0005631E" w:rsidRPr="001E0ADA" w:rsidTr="00E334D6">
        <w:tc>
          <w:tcPr>
            <w:tcW w:w="527" w:type="dxa"/>
          </w:tcPr>
          <w:p w:rsidR="0005631E" w:rsidRDefault="0005631E" w:rsidP="00E334D6">
            <w:pPr>
              <w:rPr>
                <w:szCs w:val="20"/>
              </w:rPr>
            </w:pPr>
            <w:r>
              <w:rPr>
                <w:szCs w:val="20"/>
              </w:rPr>
              <w:t>8.</w:t>
            </w:r>
          </w:p>
        </w:tc>
        <w:tc>
          <w:tcPr>
            <w:tcW w:w="3538" w:type="dxa"/>
          </w:tcPr>
          <w:p w:rsidR="0005631E" w:rsidRPr="009746A0" w:rsidRDefault="0005631E" w:rsidP="00E334D6">
            <w:pPr>
              <w:rPr>
                <w:szCs w:val="20"/>
              </w:rPr>
            </w:pPr>
            <w:r>
              <w:rPr>
                <w:szCs w:val="20"/>
              </w:rPr>
              <w:t>In case of the declaration of performance concerning a construction product for which a European Technical Assessment has been issued</w:t>
            </w:r>
          </w:p>
        </w:tc>
        <w:tc>
          <w:tcPr>
            <w:tcW w:w="4349" w:type="dxa"/>
          </w:tcPr>
          <w:p w:rsidR="0005631E" w:rsidRDefault="0005631E" w:rsidP="00E334D6">
            <w:pPr>
              <w:rPr>
                <w:b/>
                <w:szCs w:val="20"/>
              </w:rPr>
            </w:pPr>
            <w:r>
              <w:rPr>
                <w:b/>
                <w:szCs w:val="20"/>
              </w:rPr>
              <w:t>Not relevant</w:t>
            </w:r>
          </w:p>
        </w:tc>
      </w:tr>
    </w:tbl>
    <w:p w:rsidR="00901C32" w:rsidRDefault="00901C32"/>
    <w:p w:rsidR="00E334D6" w:rsidRDefault="00E334D6" w:rsidP="00E334D6">
      <w:r>
        <w:rPr>
          <w:noProof/>
          <w:lang w:eastAsia="en-GB"/>
        </w:rPr>
        <w:drawing>
          <wp:inline distT="0" distB="0" distL="0" distR="0" wp14:anchorId="462EE3B4" wp14:editId="0FE25420">
            <wp:extent cx="1362075" cy="3860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UDER LOGO_orange &amp; black_jpe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73010" cy="389124"/>
                    </a:xfrm>
                    <a:prstGeom prst="rect">
                      <a:avLst/>
                    </a:prstGeom>
                  </pic:spPr>
                </pic:pic>
              </a:graphicData>
            </a:graphic>
          </wp:inline>
        </w:drawing>
      </w:r>
    </w:p>
    <w:p w:rsidR="00E334D6" w:rsidRDefault="00E334D6" w:rsidP="00E334D6"/>
    <w:p w:rsidR="00E334D6" w:rsidRDefault="00E334D6" w:rsidP="00E334D6">
      <w:pPr>
        <w:rPr>
          <w:b/>
          <w:sz w:val="40"/>
          <w:szCs w:val="40"/>
        </w:rPr>
      </w:pPr>
      <w:r w:rsidRPr="003C0AB3">
        <w:rPr>
          <w:b/>
          <w:sz w:val="40"/>
          <w:szCs w:val="40"/>
        </w:rPr>
        <w:t>Declaration of Performance</w:t>
      </w:r>
    </w:p>
    <w:p w:rsidR="00E334D6" w:rsidRPr="003C0AB3" w:rsidRDefault="00E334D6" w:rsidP="00E334D6">
      <w:pPr>
        <w:rPr>
          <w:b/>
          <w:sz w:val="16"/>
          <w:szCs w:val="16"/>
        </w:rPr>
      </w:pPr>
    </w:p>
    <w:p w:rsidR="00E334D6" w:rsidRPr="003C0AB3" w:rsidRDefault="00486A89" w:rsidP="00E334D6">
      <w:pPr>
        <w:rPr>
          <w:b/>
          <w:sz w:val="32"/>
          <w:szCs w:val="32"/>
        </w:rPr>
      </w:pPr>
      <w:proofErr w:type="spellStart"/>
      <w:r>
        <w:rPr>
          <w:b/>
          <w:sz w:val="32"/>
          <w:szCs w:val="32"/>
        </w:rPr>
        <w:t>BauderROCK</w:t>
      </w:r>
      <w:proofErr w:type="spellEnd"/>
      <w:r w:rsidR="00432EB8">
        <w:rPr>
          <w:b/>
          <w:sz w:val="32"/>
          <w:szCs w:val="32"/>
        </w:rPr>
        <w:t xml:space="preserve"> </w:t>
      </w:r>
      <w:r w:rsidR="00E334D6">
        <w:rPr>
          <w:b/>
          <w:sz w:val="32"/>
          <w:szCs w:val="32"/>
        </w:rPr>
        <w:t>Insulation</w:t>
      </w:r>
    </w:p>
    <w:p w:rsidR="00E334D6" w:rsidRDefault="00E334D6" w:rsidP="00E334D6"/>
    <w:p w:rsidR="00E334D6" w:rsidRPr="00871DB8" w:rsidRDefault="00432EB8" w:rsidP="00E334D6">
      <w:pPr>
        <w:rPr>
          <w:b/>
          <w:sz w:val="28"/>
          <w:szCs w:val="28"/>
        </w:rPr>
      </w:pPr>
      <w:proofErr w:type="spellStart"/>
      <w:proofErr w:type="gramStart"/>
      <w:r>
        <w:rPr>
          <w:b/>
          <w:sz w:val="28"/>
          <w:szCs w:val="28"/>
        </w:rPr>
        <w:t>DoP</w:t>
      </w:r>
      <w:proofErr w:type="spellEnd"/>
      <w:r>
        <w:rPr>
          <w:b/>
          <w:sz w:val="28"/>
          <w:szCs w:val="28"/>
        </w:rPr>
        <w:t xml:space="preserve"> No.</w:t>
      </w:r>
      <w:proofErr w:type="gramEnd"/>
      <w:r w:rsidR="009746A0">
        <w:rPr>
          <w:b/>
          <w:sz w:val="28"/>
          <w:szCs w:val="28"/>
        </w:rPr>
        <w:t xml:space="preserve"> WER-0144</w:t>
      </w:r>
    </w:p>
    <w:p w:rsidR="001E0ADA" w:rsidRDefault="001E0ADA"/>
    <w:p w:rsidR="001E0ADA" w:rsidRDefault="001E0ADA"/>
    <w:p w:rsidR="00BB439B" w:rsidRDefault="00BB439B" w:rsidP="001E0ADA">
      <w:pPr>
        <w:rPr>
          <w:sz w:val="18"/>
          <w:szCs w:val="18"/>
        </w:rPr>
      </w:pPr>
    </w:p>
    <w:p w:rsidR="00BB439B" w:rsidRDefault="00BB439B" w:rsidP="001E0ADA">
      <w:pPr>
        <w:rPr>
          <w:sz w:val="18"/>
          <w:szCs w:val="18"/>
        </w:rPr>
      </w:pPr>
    </w:p>
    <w:p w:rsidR="00BB439B" w:rsidRDefault="00BB439B" w:rsidP="001E0ADA">
      <w:pPr>
        <w:rPr>
          <w:sz w:val="18"/>
          <w:szCs w:val="18"/>
        </w:rPr>
      </w:pPr>
    </w:p>
    <w:p w:rsidR="00BB439B" w:rsidRDefault="00BB439B" w:rsidP="001E0ADA">
      <w:pPr>
        <w:rPr>
          <w:sz w:val="18"/>
          <w:szCs w:val="18"/>
        </w:rPr>
      </w:pPr>
    </w:p>
    <w:p w:rsidR="00BB439B" w:rsidRDefault="00BB439B" w:rsidP="001E0ADA">
      <w:pPr>
        <w:rPr>
          <w:sz w:val="18"/>
          <w:szCs w:val="18"/>
        </w:rPr>
      </w:pPr>
    </w:p>
    <w:p w:rsidR="00BB439B" w:rsidRDefault="00BB439B" w:rsidP="001E0ADA">
      <w:pPr>
        <w:rPr>
          <w:sz w:val="18"/>
          <w:szCs w:val="18"/>
        </w:rPr>
      </w:pPr>
    </w:p>
    <w:p w:rsidR="00BB439B" w:rsidRDefault="00BB439B" w:rsidP="001E0ADA">
      <w:pPr>
        <w:rPr>
          <w:sz w:val="18"/>
          <w:szCs w:val="18"/>
        </w:rPr>
      </w:pPr>
    </w:p>
    <w:p w:rsidR="00BB439B" w:rsidRDefault="00BB439B" w:rsidP="001E0ADA">
      <w:pPr>
        <w:rPr>
          <w:sz w:val="18"/>
          <w:szCs w:val="18"/>
        </w:rPr>
      </w:pPr>
    </w:p>
    <w:p w:rsidR="00BB439B" w:rsidRDefault="00BB439B" w:rsidP="001E0ADA">
      <w:pPr>
        <w:rPr>
          <w:sz w:val="18"/>
          <w:szCs w:val="18"/>
        </w:rPr>
      </w:pPr>
    </w:p>
    <w:p w:rsidR="001E0ADA" w:rsidRPr="005D23EC" w:rsidRDefault="0005631E" w:rsidP="001E0ADA">
      <w:pPr>
        <w:rPr>
          <w:szCs w:val="20"/>
        </w:rPr>
      </w:pPr>
      <w:r>
        <w:rPr>
          <w:szCs w:val="20"/>
        </w:rPr>
        <w:lastRenderedPageBreak/>
        <w:t>9</w:t>
      </w:r>
      <w:r w:rsidR="001E0ADA" w:rsidRPr="005D23EC">
        <w:rPr>
          <w:szCs w:val="20"/>
        </w:rPr>
        <w:t>. Declared performance</w:t>
      </w:r>
      <w:r w:rsidR="00432EB8" w:rsidRPr="005D23EC">
        <w:rPr>
          <w:szCs w:val="20"/>
        </w:rPr>
        <w:t>: (NPD – no performance declared)</w:t>
      </w:r>
    </w:p>
    <w:p w:rsidR="001E0ADA" w:rsidRDefault="001E0ADA"/>
    <w:tbl>
      <w:tblPr>
        <w:tblStyle w:val="TableGrid"/>
        <w:tblW w:w="9923" w:type="dxa"/>
        <w:tblInd w:w="-743" w:type="dxa"/>
        <w:tblLook w:val="04A0" w:firstRow="1" w:lastRow="0" w:firstColumn="1" w:lastColumn="0" w:noHBand="0" w:noVBand="1"/>
      </w:tblPr>
      <w:tblGrid>
        <w:gridCol w:w="2552"/>
        <w:gridCol w:w="2977"/>
        <w:gridCol w:w="2410"/>
        <w:gridCol w:w="1984"/>
      </w:tblGrid>
      <w:tr w:rsidR="00BB439B" w:rsidRPr="00C83BD8" w:rsidTr="00BB439B">
        <w:tc>
          <w:tcPr>
            <w:tcW w:w="2552" w:type="dxa"/>
            <w:shd w:val="clear" w:color="auto" w:fill="D9D9D9" w:themeFill="background1" w:themeFillShade="D9"/>
          </w:tcPr>
          <w:p w:rsidR="00F3193B" w:rsidRPr="00C83BD8" w:rsidRDefault="00F3193B" w:rsidP="001E0ADA">
            <w:pPr>
              <w:rPr>
                <w:b/>
                <w:sz w:val="16"/>
                <w:szCs w:val="16"/>
              </w:rPr>
            </w:pPr>
            <w:r w:rsidRPr="00C83BD8">
              <w:rPr>
                <w:b/>
                <w:sz w:val="16"/>
                <w:szCs w:val="16"/>
              </w:rPr>
              <w:t>Essential Characteristics</w:t>
            </w:r>
          </w:p>
        </w:tc>
        <w:tc>
          <w:tcPr>
            <w:tcW w:w="2977" w:type="dxa"/>
            <w:shd w:val="clear" w:color="auto" w:fill="D9D9D9" w:themeFill="background1" w:themeFillShade="D9"/>
          </w:tcPr>
          <w:p w:rsidR="00F3193B" w:rsidRPr="00C83BD8" w:rsidRDefault="00F3193B" w:rsidP="001E0ADA">
            <w:pPr>
              <w:rPr>
                <w:b/>
                <w:sz w:val="16"/>
                <w:szCs w:val="16"/>
              </w:rPr>
            </w:pPr>
            <w:r w:rsidRPr="00C83BD8">
              <w:rPr>
                <w:b/>
                <w:sz w:val="16"/>
                <w:szCs w:val="16"/>
              </w:rPr>
              <w:t>Clauses in this and other European standard(s) related to essential characteristics</w:t>
            </w:r>
          </w:p>
        </w:tc>
        <w:tc>
          <w:tcPr>
            <w:tcW w:w="2410" w:type="dxa"/>
            <w:shd w:val="clear" w:color="auto" w:fill="D9D9D9" w:themeFill="background1" w:themeFillShade="D9"/>
          </w:tcPr>
          <w:p w:rsidR="00044C1F" w:rsidRDefault="00F3193B" w:rsidP="001E0ADA">
            <w:pPr>
              <w:rPr>
                <w:b/>
                <w:sz w:val="16"/>
                <w:szCs w:val="16"/>
              </w:rPr>
            </w:pPr>
            <w:r w:rsidRPr="00C83BD8">
              <w:rPr>
                <w:b/>
                <w:sz w:val="16"/>
                <w:szCs w:val="16"/>
              </w:rPr>
              <w:t xml:space="preserve">Harmonised standard </w:t>
            </w:r>
          </w:p>
          <w:p w:rsidR="00F3193B" w:rsidRPr="00C83BD8" w:rsidRDefault="00F3193B" w:rsidP="001E0ADA">
            <w:pPr>
              <w:rPr>
                <w:b/>
                <w:sz w:val="16"/>
                <w:szCs w:val="16"/>
              </w:rPr>
            </w:pPr>
            <w:r w:rsidRPr="00C83BD8">
              <w:rPr>
                <w:b/>
                <w:sz w:val="16"/>
                <w:szCs w:val="16"/>
              </w:rPr>
              <w:t>EN 13162:2012</w:t>
            </w:r>
          </w:p>
        </w:tc>
        <w:tc>
          <w:tcPr>
            <w:tcW w:w="1984" w:type="dxa"/>
            <w:shd w:val="clear" w:color="auto" w:fill="D9D9D9" w:themeFill="background1" w:themeFillShade="D9"/>
          </w:tcPr>
          <w:p w:rsidR="00F3193B" w:rsidRPr="00C83BD8" w:rsidRDefault="00F3193B" w:rsidP="001E0ADA">
            <w:pPr>
              <w:rPr>
                <w:b/>
                <w:sz w:val="16"/>
                <w:szCs w:val="16"/>
              </w:rPr>
            </w:pPr>
            <w:r w:rsidRPr="00C83BD8">
              <w:rPr>
                <w:b/>
                <w:sz w:val="16"/>
                <w:szCs w:val="16"/>
              </w:rPr>
              <w:t>Declared value / NPD</w:t>
            </w:r>
          </w:p>
        </w:tc>
      </w:tr>
      <w:tr w:rsidR="00BB439B" w:rsidRPr="00C83BD8" w:rsidTr="00BB439B">
        <w:tc>
          <w:tcPr>
            <w:tcW w:w="2552" w:type="dxa"/>
          </w:tcPr>
          <w:p w:rsidR="00F3193B" w:rsidRPr="00C83BD8" w:rsidRDefault="00F3193B" w:rsidP="001E0ADA">
            <w:pPr>
              <w:rPr>
                <w:sz w:val="16"/>
                <w:szCs w:val="16"/>
              </w:rPr>
            </w:pPr>
            <w:r w:rsidRPr="00C83BD8">
              <w:rPr>
                <w:sz w:val="16"/>
                <w:szCs w:val="16"/>
              </w:rPr>
              <w:t>Reaction to fire</w:t>
            </w:r>
          </w:p>
        </w:tc>
        <w:tc>
          <w:tcPr>
            <w:tcW w:w="2977" w:type="dxa"/>
          </w:tcPr>
          <w:p w:rsidR="00F3193B" w:rsidRPr="00C83BD8" w:rsidRDefault="00F3193B" w:rsidP="001E0ADA">
            <w:pPr>
              <w:rPr>
                <w:sz w:val="16"/>
                <w:szCs w:val="16"/>
              </w:rPr>
            </w:pPr>
            <w:r w:rsidRPr="00C83BD8">
              <w:rPr>
                <w:sz w:val="16"/>
                <w:szCs w:val="16"/>
              </w:rPr>
              <w:t>4.2.8 Reaction to fire</w:t>
            </w:r>
          </w:p>
        </w:tc>
        <w:tc>
          <w:tcPr>
            <w:tcW w:w="2410" w:type="dxa"/>
          </w:tcPr>
          <w:p w:rsidR="00F3193B" w:rsidRPr="00C83BD8" w:rsidRDefault="00F3193B" w:rsidP="001E0ADA">
            <w:pPr>
              <w:rPr>
                <w:sz w:val="16"/>
                <w:szCs w:val="16"/>
              </w:rPr>
            </w:pPr>
            <w:proofErr w:type="spellStart"/>
            <w:r w:rsidRPr="00C83BD8">
              <w:rPr>
                <w:sz w:val="16"/>
                <w:szCs w:val="16"/>
              </w:rPr>
              <w:t>Euroclasses</w:t>
            </w:r>
            <w:proofErr w:type="spellEnd"/>
          </w:p>
        </w:tc>
        <w:tc>
          <w:tcPr>
            <w:tcW w:w="1984" w:type="dxa"/>
          </w:tcPr>
          <w:p w:rsidR="00F3193B" w:rsidRPr="00C83BD8" w:rsidRDefault="00F3193B" w:rsidP="001E0ADA">
            <w:pPr>
              <w:rPr>
                <w:sz w:val="16"/>
                <w:szCs w:val="16"/>
              </w:rPr>
            </w:pPr>
            <w:r w:rsidRPr="00C83BD8">
              <w:rPr>
                <w:sz w:val="16"/>
                <w:szCs w:val="16"/>
              </w:rPr>
              <w:t>A1</w:t>
            </w:r>
          </w:p>
        </w:tc>
      </w:tr>
      <w:tr w:rsidR="00BB439B" w:rsidRPr="00C83BD8" w:rsidTr="00BB439B">
        <w:tc>
          <w:tcPr>
            <w:tcW w:w="2552" w:type="dxa"/>
          </w:tcPr>
          <w:p w:rsidR="00F3193B" w:rsidRPr="00C83BD8" w:rsidRDefault="00F3193B" w:rsidP="001E0ADA">
            <w:pPr>
              <w:rPr>
                <w:sz w:val="16"/>
                <w:szCs w:val="16"/>
              </w:rPr>
            </w:pPr>
            <w:r w:rsidRPr="00C83BD8">
              <w:rPr>
                <w:sz w:val="16"/>
                <w:szCs w:val="16"/>
              </w:rPr>
              <w:t>Release of dangerous substances to the indoor environment</w:t>
            </w:r>
          </w:p>
        </w:tc>
        <w:tc>
          <w:tcPr>
            <w:tcW w:w="2977" w:type="dxa"/>
          </w:tcPr>
          <w:p w:rsidR="00F3193B" w:rsidRPr="00C83BD8" w:rsidRDefault="00F3193B" w:rsidP="001E0ADA">
            <w:pPr>
              <w:rPr>
                <w:sz w:val="16"/>
                <w:szCs w:val="16"/>
              </w:rPr>
            </w:pPr>
            <w:r w:rsidRPr="00C83BD8">
              <w:rPr>
                <w:sz w:val="16"/>
                <w:szCs w:val="16"/>
              </w:rPr>
              <w:t>4.3.13 Release of dangerous substances</w:t>
            </w:r>
          </w:p>
        </w:tc>
        <w:tc>
          <w:tcPr>
            <w:tcW w:w="2410" w:type="dxa"/>
          </w:tcPr>
          <w:p w:rsidR="00F3193B" w:rsidRPr="00C83BD8" w:rsidRDefault="00F3193B" w:rsidP="001E0ADA">
            <w:pPr>
              <w:rPr>
                <w:sz w:val="16"/>
                <w:szCs w:val="16"/>
              </w:rPr>
            </w:pPr>
            <w:r w:rsidRPr="00C83BD8">
              <w:rPr>
                <w:sz w:val="16"/>
                <w:szCs w:val="16"/>
              </w:rPr>
              <w:t>-</w:t>
            </w:r>
          </w:p>
        </w:tc>
        <w:tc>
          <w:tcPr>
            <w:tcW w:w="1984" w:type="dxa"/>
          </w:tcPr>
          <w:p w:rsidR="00F3193B" w:rsidRPr="00C83BD8" w:rsidRDefault="00F3193B" w:rsidP="001E0ADA">
            <w:pPr>
              <w:rPr>
                <w:sz w:val="16"/>
                <w:szCs w:val="16"/>
              </w:rPr>
            </w:pPr>
            <w:r w:rsidRPr="00C83BD8">
              <w:rPr>
                <w:sz w:val="16"/>
                <w:szCs w:val="16"/>
              </w:rPr>
              <w:t>NPD</w:t>
            </w:r>
          </w:p>
        </w:tc>
      </w:tr>
      <w:tr w:rsidR="00BB439B" w:rsidRPr="00C83BD8" w:rsidTr="00BB439B">
        <w:tc>
          <w:tcPr>
            <w:tcW w:w="2552" w:type="dxa"/>
          </w:tcPr>
          <w:p w:rsidR="00F3193B" w:rsidRPr="00C83BD8" w:rsidRDefault="00F3193B" w:rsidP="001E0ADA">
            <w:pPr>
              <w:rPr>
                <w:sz w:val="16"/>
                <w:szCs w:val="16"/>
              </w:rPr>
            </w:pPr>
            <w:r w:rsidRPr="00C83BD8">
              <w:rPr>
                <w:sz w:val="16"/>
                <w:szCs w:val="16"/>
              </w:rPr>
              <w:t>Acoustic absorption index</w:t>
            </w:r>
          </w:p>
        </w:tc>
        <w:tc>
          <w:tcPr>
            <w:tcW w:w="2977" w:type="dxa"/>
          </w:tcPr>
          <w:p w:rsidR="00F3193B" w:rsidRPr="00C83BD8" w:rsidRDefault="00F3193B" w:rsidP="001E0ADA">
            <w:pPr>
              <w:rPr>
                <w:sz w:val="16"/>
                <w:szCs w:val="16"/>
              </w:rPr>
            </w:pPr>
            <w:r w:rsidRPr="00C83BD8">
              <w:rPr>
                <w:sz w:val="16"/>
                <w:szCs w:val="16"/>
              </w:rPr>
              <w:t>4.3.11 Sound absorption</w:t>
            </w:r>
          </w:p>
        </w:tc>
        <w:tc>
          <w:tcPr>
            <w:tcW w:w="2410" w:type="dxa"/>
          </w:tcPr>
          <w:p w:rsidR="00F3193B" w:rsidRPr="00C83BD8" w:rsidRDefault="00F3193B" w:rsidP="00561B52">
            <w:pPr>
              <w:rPr>
                <w:sz w:val="16"/>
                <w:szCs w:val="16"/>
              </w:rPr>
            </w:pPr>
            <w:r w:rsidRPr="00C83BD8">
              <w:rPr>
                <w:sz w:val="16"/>
                <w:szCs w:val="16"/>
              </w:rPr>
              <w:t xml:space="preserve">Declared </w:t>
            </w:r>
            <w:r w:rsidR="00561B52" w:rsidRPr="00C83BD8">
              <w:rPr>
                <w:rFonts w:cs="Arial"/>
                <w:sz w:val="16"/>
                <w:szCs w:val="16"/>
              </w:rPr>
              <w:t>α</w:t>
            </w:r>
            <w:r w:rsidRPr="00C83BD8">
              <w:rPr>
                <w:rFonts w:cs="Arial"/>
                <w:sz w:val="28"/>
                <w:szCs w:val="28"/>
                <w:vertAlign w:val="subscript"/>
              </w:rPr>
              <w:t>ᵖ</w:t>
            </w:r>
            <w:r w:rsidRPr="00C83BD8">
              <w:rPr>
                <w:rFonts w:cs="Arial"/>
                <w:sz w:val="16"/>
                <w:szCs w:val="16"/>
              </w:rPr>
              <w:t xml:space="preserve"> and </w:t>
            </w:r>
            <w:r w:rsidR="00561B52" w:rsidRPr="00C83BD8">
              <w:rPr>
                <w:rFonts w:cs="Arial"/>
                <w:sz w:val="16"/>
                <w:szCs w:val="16"/>
              </w:rPr>
              <w:t>α</w:t>
            </w:r>
            <w:r w:rsidR="001348D7" w:rsidRPr="00C83BD8">
              <w:rPr>
                <w:rFonts w:cs="Arial"/>
                <w:sz w:val="22"/>
                <w:szCs w:val="22"/>
                <w:vertAlign w:val="subscript"/>
              </w:rPr>
              <w:t>w</w:t>
            </w:r>
          </w:p>
        </w:tc>
        <w:tc>
          <w:tcPr>
            <w:tcW w:w="1984" w:type="dxa"/>
          </w:tcPr>
          <w:p w:rsidR="00F3193B" w:rsidRPr="00C83BD8" w:rsidRDefault="001348D7" w:rsidP="001E0ADA">
            <w:pPr>
              <w:rPr>
                <w:sz w:val="16"/>
                <w:szCs w:val="16"/>
              </w:rPr>
            </w:pPr>
            <w:r w:rsidRPr="00C83BD8">
              <w:rPr>
                <w:sz w:val="16"/>
                <w:szCs w:val="16"/>
              </w:rPr>
              <w:t>NPD</w:t>
            </w:r>
          </w:p>
        </w:tc>
      </w:tr>
      <w:tr w:rsidR="00BB439B" w:rsidRPr="00C83BD8" w:rsidTr="00BB439B">
        <w:tc>
          <w:tcPr>
            <w:tcW w:w="2552" w:type="dxa"/>
            <w:vMerge w:val="restart"/>
          </w:tcPr>
          <w:p w:rsidR="000954DD" w:rsidRPr="00C83BD8" w:rsidRDefault="000954DD" w:rsidP="001E0ADA">
            <w:pPr>
              <w:rPr>
                <w:sz w:val="16"/>
                <w:szCs w:val="16"/>
              </w:rPr>
            </w:pPr>
            <w:r w:rsidRPr="00C83BD8">
              <w:rPr>
                <w:sz w:val="16"/>
                <w:szCs w:val="16"/>
              </w:rPr>
              <w:t>Impact noise transmission index (for floors)</w:t>
            </w:r>
          </w:p>
        </w:tc>
        <w:tc>
          <w:tcPr>
            <w:tcW w:w="2977" w:type="dxa"/>
          </w:tcPr>
          <w:p w:rsidR="000954DD" w:rsidRPr="00C83BD8" w:rsidRDefault="000954DD" w:rsidP="001E0ADA">
            <w:pPr>
              <w:rPr>
                <w:sz w:val="16"/>
                <w:szCs w:val="16"/>
              </w:rPr>
            </w:pPr>
            <w:r w:rsidRPr="00C83BD8">
              <w:rPr>
                <w:sz w:val="16"/>
                <w:szCs w:val="16"/>
              </w:rPr>
              <w:t>4.3.9 Dynamic stiffness</w:t>
            </w:r>
          </w:p>
        </w:tc>
        <w:tc>
          <w:tcPr>
            <w:tcW w:w="2410" w:type="dxa"/>
          </w:tcPr>
          <w:p w:rsidR="000954DD" w:rsidRPr="00C83BD8" w:rsidRDefault="000954DD" w:rsidP="001E0ADA">
            <w:pPr>
              <w:rPr>
                <w:sz w:val="16"/>
                <w:szCs w:val="16"/>
              </w:rPr>
            </w:pPr>
            <w:r w:rsidRPr="00C83BD8">
              <w:rPr>
                <w:sz w:val="16"/>
                <w:szCs w:val="16"/>
              </w:rPr>
              <w:t>Declared S</w:t>
            </w:r>
          </w:p>
        </w:tc>
        <w:tc>
          <w:tcPr>
            <w:tcW w:w="1984" w:type="dxa"/>
          </w:tcPr>
          <w:p w:rsidR="000954DD" w:rsidRPr="00C83BD8" w:rsidRDefault="000954DD" w:rsidP="001E0ADA">
            <w:pPr>
              <w:rPr>
                <w:sz w:val="16"/>
                <w:szCs w:val="16"/>
              </w:rPr>
            </w:pPr>
            <w:r w:rsidRPr="00C83BD8">
              <w:rPr>
                <w:sz w:val="16"/>
                <w:szCs w:val="16"/>
              </w:rPr>
              <w:t>NPD</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1348D7">
            <w:pPr>
              <w:rPr>
                <w:sz w:val="16"/>
                <w:szCs w:val="16"/>
              </w:rPr>
            </w:pPr>
            <w:r w:rsidRPr="00C83BD8">
              <w:rPr>
                <w:sz w:val="16"/>
                <w:szCs w:val="16"/>
              </w:rPr>
              <w:t xml:space="preserve">4.3.10.1 Thickness, </w:t>
            </w:r>
            <w:proofErr w:type="spellStart"/>
            <w:r w:rsidRPr="00C83BD8">
              <w:rPr>
                <w:rFonts w:cs="Arial"/>
                <w:color w:val="000000"/>
                <w:sz w:val="16"/>
                <w:szCs w:val="16"/>
              </w:rPr>
              <w:t>d</w:t>
            </w:r>
            <w:r w:rsidRPr="00C83BD8">
              <w:rPr>
                <w:rFonts w:cs="Arial"/>
                <w:color w:val="000000"/>
                <w:sz w:val="16"/>
                <w:szCs w:val="16"/>
                <w:vertAlign w:val="subscript"/>
              </w:rPr>
              <w:t>L</w:t>
            </w:r>
            <w:proofErr w:type="spellEnd"/>
            <w:r w:rsidRPr="00C83BD8">
              <w:rPr>
                <w:rFonts w:cs="Arial"/>
                <w:color w:val="000000"/>
                <w:sz w:val="16"/>
                <w:szCs w:val="16"/>
                <w:vertAlign w:val="subscript"/>
              </w:rPr>
              <w:t xml:space="preserve">  </w:t>
            </w:r>
          </w:p>
        </w:tc>
        <w:tc>
          <w:tcPr>
            <w:tcW w:w="2410" w:type="dxa"/>
          </w:tcPr>
          <w:p w:rsidR="000954DD" w:rsidRPr="00C83BD8" w:rsidRDefault="000954DD" w:rsidP="001348D7">
            <w:pPr>
              <w:rPr>
                <w:sz w:val="16"/>
                <w:szCs w:val="16"/>
              </w:rPr>
            </w:pPr>
            <w:r w:rsidRPr="00C83BD8">
              <w:rPr>
                <w:sz w:val="16"/>
                <w:szCs w:val="16"/>
              </w:rPr>
              <w:t xml:space="preserve">Declared </w:t>
            </w:r>
            <w:proofErr w:type="spellStart"/>
            <w:r w:rsidRPr="00C83BD8">
              <w:rPr>
                <w:rFonts w:cs="Arial"/>
                <w:color w:val="000000"/>
                <w:sz w:val="16"/>
                <w:szCs w:val="16"/>
              </w:rPr>
              <w:t>d</w:t>
            </w:r>
            <w:r w:rsidRPr="00C83BD8">
              <w:rPr>
                <w:rFonts w:cs="Arial"/>
                <w:color w:val="000000"/>
                <w:sz w:val="16"/>
                <w:szCs w:val="16"/>
                <w:vertAlign w:val="subscript"/>
              </w:rPr>
              <w:t>L</w:t>
            </w:r>
            <w:proofErr w:type="spellEnd"/>
            <w:r w:rsidRPr="00C83BD8">
              <w:rPr>
                <w:rFonts w:cs="Arial"/>
                <w:color w:val="000000"/>
                <w:sz w:val="16"/>
                <w:szCs w:val="16"/>
                <w:vertAlign w:val="subscript"/>
              </w:rPr>
              <w:t xml:space="preserve">  </w:t>
            </w:r>
            <w:r w:rsidRPr="00C83BD8">
              <w:rPr>
                <w:sz w:val="16"/>
                <w:szCs w:val="16"/>
              </w:rPr>
              <w:t>and Class</w:t>
            </w:r>
          </w:p>
        </w:tc>
        <w:tc>
          <w:tcPr>
            <w:tcW w:w="1984" w:type="dxa"/>
          </w:tcPr>
          <w:p w:rsidR="000954DD" w:rsidRPr="00C83BD8" w:rsidRDefault="000954DD" w:rsidP="001E0ADA">
            <w:pPr>
              <w:rPr>
                <w:sz w:val="16"/>
                <w:szCs w:val="16"/>
              </w:rPr>
            </w:pPr>
            <w:r w:rsidRPr="00C83BD8">
              <w:rPr>
                <w:sz w:val="16"/>
                <w:szCs w:val="16"/>
              </w:rPr>
              <w:t>NPD</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1E0ADA">
            <w:pPr>
              <w:rPr>
                <w:sz w:val="16"/>
                <w:szCs w:val="16"/>
              </w:rPr>
            </w:pPr>
            <w:r w:rsidRPr="00C83BD8">
              <w:rPr>
                <w:sz w:val="16"/>
                <w:szCs w:val="16"/>
              </w:rPr>
              <w:t>4.3.10.3 Compressibility c</w:t>
            </w:r>
          </w:p>
        </w:tc>
        <w:tc>
          <w:tcPr>
            <w:tcW w:w="2410" w:type="dxa"/>
          </w:tcPr>
          <w:p w:rsidR="000954DD" w:rsidRPr="00C83BD8" w:rsidRDefault="000954DD" w:rsidP="001E0ADA">
            <w:pPr>
              <w:rPr>
                <w:sz w:val="16"/>
                <w:szCs w:val="16"/>
              </w:rPr>
            </w:pPr>
            <w:r w:rsidRPr="00C83BD8">
              <w:rPr>
                <w:sz w:val="16"/>
                <w:szCs w:val="16"/>
              </w:rPr>
              <w:t>Declared CP Level</w:t>
            </w:r>
          </w:p>
        </w:tc>
        <w:tc>
          <w:tcPr>
            <w:tcW w:w="1984" w:type="dxa"/>
          </w:tcPr>
          <w:p w:rsidR="000954DD" w:rsidRPr="00C83BD8" w:rsidRDefault="000954DD" w:rsidP="001E0ADA">
            <w:pPr>
              <w:rPr>
                <w:sz w:val="16"/>
                <w:szCs w:val="16"/>
              </w:rPr>
            </w:pPr>
            <w:r w:rsidRPr="00C83BD8">
              <w:rPr>
                <w:sz w:val="16"/>
                <w:szCs w:val="16"/>
              </w:rPr>
              <w:t>NPD</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1E0ADA">
            <w:pPr>
              <w:rPr>
                <w:sz w:val="16"/>
                <w:szCs w:val="16"/>
              </w:rPr>
            </w:pPr>
            <w:r w:rsidRPr="00C83BD8">
              <w:rPr>
                <w:sz w:val="16"/>
                <w:szCs w:val="16"/>
              </w:rPr>
              <w:t>4.3.12 Air flow resistivity</w:t>
            </w:r>
          </w:p>
        </w:tc>
        <w:tc>
          <w:tcPr>
            <w:tcW w:w="2410" w:type="dxa"/>
          </w:tcPr>
          <w:p w:rsidR="000954DD" w:rsidRPr="00C83BD8" w:rsidRDefault="000954DD" w:rsidP="001E0ADA">
            <w:pPr>
              <w:rPr>
                <w:sz w:val="16"/>
                <w:szCs w:val="16"/>
              </w:rPr>
            </w:pPr>
            <w:r w:rsidRPr="00C83BD8">
              <w:rPr>
                <w:sz w:val="16"/>
                <w:szCs w:val="16"/>
              </w:rPr>
              <w:t xml:space="preserve">Direct airborne sound insulation index, Declared </w:t>
            </w:r>
            <w:proofErr w:type="spellStart"/>
            <w:r w:rsidRPr="00C83BD8">
              <w:rPr>
                <w:sz w:val="16"/>
                <w:szCs w:val="16"/>
              </w:rPr>
              <w:t>AF</w:t>
            </w:r>
            <w:r w:rsidRPr="00C83BD8">
              <w:rPr>
                <w:rFonts w:cs="Arial"/>
                <w:color w:val="000000"/>
                <w:sz w:val="16"/>
                <w:szCs w:val="16"/>
                <w:vertAlign w:val="subscript"/>
              </w:rPr>
              <w:t>r</w:t>
            </w:r>
            <w:proofErr w:type="spellEnd"/>
            <w:r w:rsidRPr="00C83BD8">
              <w:rPr>
                <w:rFonts w:cs="Arial"/>
                <w:color w:val="000000"/>
                <w:sz w:val="16"/>
                <w:szCs w:val="16"/>
                <w:vertAlign w:val="subscript"/>
              </w:rPr>
              <w:t xml:space="preserve">  </w:t>
            </w:r>
          </w:p>
        </w:tc>
        <w:tc>
          <w:tcPr>
            <w:tcW w:w="1984" w:type="dxa"/>
          </w:tcPr>
          <w:p w:rsidR="000954DD" w:rsidRPr="00C83BD8" w:rsidRDefault="000954DD" w:rsidP="001E0ADA">
            <w:pPr>
              <w:rPr>
                <w:sz w:val="16"/>
                <w:szCs w:val="16"/>
              </w:rPr>
            </w:pPr>
            <w:r w:rsidRPr="00C83BD8">
              <w:rPr>
                <w:sz w:val="16"/>
                <w:szCs w:val="16"/>
              </w:rPr>
              <w:t>NPD</w:t>
            </w:r>
          </w:p>
        </w:tc>
      </w:tr>
      <w:tr w:rsidR="00BB439B" w:rsidRPr="00C83BD8" w:rsidTr="00BB439B">
        <w:tc>
          <w:tcPr>
            <w:tcW w:w="2552" w:type="dxa"/>
          </w:tcPr>
          <w:p w:rsidR="001348D7" w:rsidRPr="00C83BD8" w:rsidRDefault="001348D7" w:rsidP="001E0ADA">
            <w:pPr>
              <w:rPr>
                <w:sz w:val="16"/>
                <w:szCs w:val="16"/>
              </w:rPr>
            </w:pPr>
            <w:r w:rsidRPr="00C83BD8">
              <w:rPr>
                <w:sz w:val="16"/>
                <w:szCs w:val="16"/>
              </w:rPr>
              <w:t>Direct airborne sound</w:t>
            </w:r>
            <w:r w:rsidR="00044C1F">
              <w:rPr>
                <w:sz w:val="16"/>
                <w:szCs w:val="16"/>
              </w:rPr>
              <w:t xml:space="preserve"> insulation index</w:t>
            </w:r>
          </w:p>
        </w:tc>
        <w:tc>
          <w:tcPr>
            <w:tcW w:w="2977" w:type="dxa"/>
          </w:tcPr>
          <w:p w:rsidR="001348D7" w:rsidRPr="00C83BD8" w:rsidRDefault="001348D7" w:rsidP="00FF7837">
            <w:pPr>
              <w:rPr>
                <w:sz w:val="16"/>
                <w:szCs w:val="16"/>
              </w:rPr>
            </w:pPr>
            <w:r w:rsidRPr="00C83BD8">
              <w:rPr>
                <w:sz w:val="16"/>
                <w:szCs w:val="16"/>
              </w:rPr>
              <w:t>4.3.12 Air flow resistivity</w:t>
            </w:r>
          </w:p>
        </w:tc>
        <w:tc>
          <w:tcPr>
            <w:tcW w:w="2410" w:type="dxa"/>
          </w:tcPr>
          <w:p w:rsidR="001348D7" w:rsidRPr="00C83BD8" w:rsidRDefault="001348D7" w:rsidP="00FF7837">
            <w:pPr>
              <w:rPr>
                <w:sz w:val="16"/>
                <w:szCs w:val="16"/>
              </w:rPr>
            </w:pPr>
            <w:r w:rsidRPr="00C83BD8">
              <w:rPr>
                <w:sz w:val="16"/>
                <w:szCs w:val="16"/>
              </w:rPr>
              <w:t xml:space="preserve">Declared </w:t>
            </w:r>
            <w:proofErr w:type="spellStart"/>
            <w:r w:rsidRPr="00C83BD8">
              <w:rPr>
                <w:sz w:val="16"/>
                <w:szCs w:val="16"/>
              </w:rPr>
              <w:t>AF</w:t>
            </w:r>
            <w:r w:rsidRPr="00C83BD8">
              <w:rPr>
                <w:rFonts w:cs="Arial"/>
                <w:color w:val="000000"/>
                <w:sz w:val="16"/>
                <w:szCs w:val="16"/>
                <w:vertAlign w:val="subscript"/>
              </w:rPr>
              <w:t>r</w:t>
            </w:r>
            <w:proofErr w:type="spellEnd"/>
            <w:r w:rsidRPr="00C83BD8">
              <w:rPr>
                <w:rFonts w:cs="Arial"/>
                <w:color w:val="000000"/>
                <w:sz w:val="16"/>
                <w:szCs w:val="16"/>
                <w:vertAlign w:val="subscript"/>
              </w:rPr>
              <w:t xml:space="preserve">  </w:t>
            </w:r>
          </w:p>
        </w:tc>
        <w:tc>
          <w:tcPr>
            <w:tcW w:w="1984" w:type="dxa"/>
          </w:tcPr>
          <w:p w:rsidR="001348D7" w:rsidRPr="00C83BD8" w:rsidRDefault="001348D7" w:rsidP="00FF7837">
            <w:pPr>
              <w:rPr>
                <w:sz w:val="16"/>
                <w:szCs w:val="16"/>
              </w:rPr>
            </w:pPr>
            <w:r w:rsidRPr="00C83BD8">
              <w:rPr>
                <w:sz w:val="16"/>
                <w:szCs w:val="16"/>
              </w:rPr>
              <w:t>NPD</w:t>
            </w:r>
          </w:p>
        </w:tc>
      </w:tr>
      <w:tr w:rsidR="00BB439B" w:rsidRPr="00C83BD8" w:rsidTr="00BB439B">
        <w:tc>
          <w:tcPr>
            <w:tcW w:w="2552" w:type="dxa"/>
          </w:tcPr>
          <w:p w:rsidR="001348D7" w:rsidRPr="00C83BD8" w:rsidRDefault="001348D7" w:rsidP="001E0ADA">
            <w:pPr>
              <w:rPr>
                <w:sz w:val="16"/>
                <w:szCs w:val="16"/>
              </w:rPr>
            </w:pPr>
            <w:r w:rsidRPr="00C83BD8">
              <w:rPr>
                <w:sz w:val="16"/>
                <w:szCs w:val="16"/>
              </w:rPr>
              <w:t>Continuous glowing combustion</w:t>
            </w:r>
          </w:p>
        </w:tc>
        <w:tc>
          <w:tcPr>
            <w:tcW w:w="2977" w:type="dxa"/>
          </w:tcPr>
          <w:p w:rsidR="001348D7" w:rsidRPr="00C83BD8" w:rsidRDefault="001348D7" w:rsidP="00FF7837">
            <w:pPr>
              <w:rPr>
                <w:sz w:val="16"/>
                <w:szCs w:val="16"/>
              </w:rPr>
            </w:pPr>
            <w:r w:rsidRPr="00C83BD8">
              <w:rPr>
                <w:sz w:val="16"/>
                <w:szCs w:val="16"/>
              </w:rPr>
              <w:t>4.3.14 Continuous glowing combustion</w:t>
            </w:r>
          </w:p>
        </w:tc>
        <w:tc>
          <w:tcPr>
            <w:tcW w:w="2410" w:type="dxa"/>
          </w:tcPr>
          <w:p w:rsidR="001348D7" w:rsidRPr="00C83BD8" w:rsidRDefault="001348D7" w:rsidP="00FF7837">
            <w:pPr>
              <w:rPr>
                <w:sz w:val="16"/>
                <w:szCs w:val="16"/>
              </w:rPr>
            </w:pPr>
            <w:r w:rsidRPr="00C83BD8">
              <w:rPr>
                <w:sz w:val="16"/>
                <w:szCs w:val="16"/>
              </w:rPr>
              <w:t>-</w:t>
            </w:r>
          </w:p>
        </w:tc>
        <w:tc>
          <w:tcPr>
            <w:tcW w:w="1984" w:type="dxa"/>
          </w:tcPr>
          <w:p w:rsidR="001348D7" w:rsidRPr="00C83BD8" w:rsidRDefault="001348D7" w:rsidP="00FF7837">
            <w:pPr>
              <w:rPr>
                <w:sz w:val="16"/>
                <w:szCs w:val="16"/>
              </w:rPr>
            </w:pPr>
            <w:r w:rsidRPr="00C83BD8">
              <w:rPr>
                <w:sz w:val="16"/>
                <w:szCs w:val="16"/>
              </w:rPr>
              <w:t>NPD</w:t>
            </w:r>
          </w:p>
        </w:tc>
      </w:tr>
      <w:tr w:rsidR="00BB439B" w:rsidRPr="00C83BD8" w:rsidTr="00BB439B">
        <w:tc>
          <w:tcPr>
            <w:tcW w:w="2552" w:type="dxa"/>
            <w:vMerge w:val="restart"/>
          </w:tcPr>
          <w:p w:rsidR="000954DD" w:rsidRPr="00C83BD8" w:rsidRDefault="000954DD" w:rsidP="001E0ADA">
            <w:pPr>
              <w:rPr>
                <w:sz w:val="16"/>
                <w:szCs w:val="16"/>
              </w:rPr>
            </w:pPr>
            <w:r w:rsidRPr="00C83BD8">
              <w:rPr>
                <w:sz w:val="16"/>
                <w:szCs w:val="16"/>
              </w:rPr>
              <w:t>Thermal resistance</w:t>
            </w:r>
          </w:p>
        </w:tc>
        <w:tc>
          <w:tcPr>
            <w:tcW w:w="2977" w:type="dxa"/>
          </w:tcPr>
          <w:p w:rsidR="000954DD" w:rsidRPr="00C83BD8" w:rsidRDefault="000954DD" w:rsidP="00FF7837">
            <w:pPr>
              <w:rPr>
                <w:sz w:val="16"/>
                <w:szCs w:val="16"/>
              </w:rPr>
            </w:pPr>
            <w:r w:rsidRPr="00C83BD8">
              <w:rPr>
                <w:sz w:val="16"/>
                <w:szCs w:val="16"/>
              </w:rPr>
              <w:t>4.2.1 Thermal resistance and thermal conductivity</w:t>
            </w:r>
          </w:p>
        </w:tc>
        <w:tc>
          <w:tcPr>
            <w:tcW w:w="2410" w:type="dxa"/>
          </w:tcPr>
          <w:p w:rsidR="000954DD" w:rsidRPr="00C83BD8" w:rsidRDefault="000954DD" w:rsidP="008E20B7">
            <w:pPr>
              <w:rPr>
                <w:sz w:val="16"/>
                <w:szCs w:val="16"/>
              </w:rPr>
            </w:pPr>
            <w:r w:rsidRPr="00C83BD8">
              <w:rPr>
                <w:sz w:val="16"/>
                <w:szCs w:val="16"/>
              </w:rPr>
              <w:t xml:space="preserve">Declared R and </w:t>
            </w:r>
            <w:r w:rsidRPr="00C83BD8">
              <w:rPr>
                <w:rFonts w:cs="Arial"/>
                <w:color w:val="000000"/>
                <w:sz w:val="16"/>
                <w:szCs w:val="16"/>
              </w:rPr>
              <w:t>λ</w:t>
            </w:r>
            <w:r w:rsidRPr="00C83BD8">
              <w:rPr>
                <w:sz w:val="16"/>
                <w:szCs w:val="16"/>
              </w:rPr>
              <w:t xml:space="preserve"> if possible</w:t>
            </w:r>
          </w:p>
        </w:tc>
        <w:tc>
          <w:tcPr>
            <w:tcW w:w="1984" w:type="dxa"/>
          </w:tcPr>
          <w:p w:rsidR="000954DD" w:rsidRPr="00C83BD8" w:rsidRDefault="000954DD" w:rsidP="0005631E">
            <w:pPr>
              <w:rPr>
                <w:sz w:val="16"/>
                <w:szCs w:val="16"/>
              </w:rPr>
            </w:pPr>
            <w:r w:rsidRPr="00C83BD8">
              <w:rPr>
                <w:rFonts w:cs="Arial"/>
                <w:color w:val="000000"/>
                <w:sz w:val="16"/>
                <w:szCs w:val="16"/>
              </w:rPr>
              <w:t>λ</w:t>
            </w:r>
            <w:r w:rsidRPr="00C83BD8">
              <w:rPr>
                <w:sz w:val="16"/>
                <w:szCs w:val="16"/>
              </w:rPr>
              <w:t xml:space="preserve"> (90/90) = 0.039 W/</w:t>
            </w:r>
            <w:proofErr w:type="spellStart"/>
            <w:r w:rsidRPr="00C83BD8">
              <w:rPr>
                <w:sz w:val="16"/>
                <w:szCs w:val="16"/>
              </w:rPr>
              <w:t>mK</w:t>
            </w:r>
            <w:proofErr w:type="spellEnd"/>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FF7837">
            <w:pPr>
              <w:rPr>
                <w:sz w:val="16"/>
                <w:szCs w:val="16"/>
              </w:rPr>
            </w:pPr>
            <w:r w:rsidRPr="00C83BD8">
              <w:rPr>
                <w:sz w:val="16"/>
                <w:szCs w:val="16"/>
              </w:rPr>
              <w:t>4.2.2 Length and width</w:t>
            </w:r>
          </w:p>
        </w:tc>
        <w:tc>
          <w:tcPr>
            <w:tcW w:w="2410" w:type="dxa"/>
          </w:tcPr>
          <w:p w:rsidR="000954DD" w:rsidRPr="00C83BD8" w:rsidRDefault="000954DD" w:rsidP="008E20B7">
            <w:pPr>
              <w:rPr>
                <w:sz w:val="16"/>
                <w:szCs w:val="16"/>
              </w:rPr>
            </w:pPr>
            <w:r w:rsidRPr="00C83BD8">
              <w:rPr>
                <w:sz w:val="16"/>
                <w:szCs w:val="16"/>
              </w:rPr>
              <w:t>Declared l and b</w:t>
            </w:r>
          </w:p>
        </w:tc>
        <w:tc>
          <w:tcPr>
            <w:tcW w:w="1984" w:type="dxa"/>
          </w:tcPr>
          <w:p w:rsidR="000954DD" w:rsidRPr="00C83BD8" w:rsidRDefault="000954DD" w:rsidP="0052726C">
            <w:pPr>
              <w:rPr>
                <w:rFonts w:cs="Arial"/>
                <w:color w:val="000000"/>
                <w:sz w:val="16"/>
                <w:szCs w:val="16"/>
              </w:rPr>
            </w:pPr>
            <w:r w:rsidRPr="00C83BD8">
              <w:rPr>
                <w:rFonts w:cs="Arial"/>
                <w:sz w:val="16"/>
                <w:szCs w:val="16"/>
              </w:rPr>
              <w:t>±3mm width of line and ±5mm length of line</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FF7837">
            <w:pPr>
              <w:rPr>
                <w:sz w:val="16"/>
                <w:szCs w:val="16"/>
              </w:rPr>
            </w:pPr>
            <w:r w:rsidRPr="00C83BD8">
              <w:rPr>
                <w:sz w:val="16"/>
                <w:szCs w:val="16"/>
              </w:rPr>
              <w:t>4.2.3 Thickness</w:t>
            </w:r>
          </w:p>
        </w:tc>
        <w:tc>
          <w:tcPr>
            <w:tcW w:w="2410" w:type="dxa"/>
          </w:tcPr>
          <w:p w:rsidR="000954DD" w:rsidRPr="00C83BD8" w:rsidRDefault="000954DD" w:rsidP="008E20B7">
            <w:pPr>
              <w:rPr>
                <w:sz w:val="16"/>
                <w:szCs w:val="16"/>
              </w:rPr>
            </w:pPr>
            <w:r w:rsidRPr="00C83BD8">
              <w:rPr>
                <w:sz w:val="16"/>
                <w:szCs w:val="16"/>
              </w:rPr>
              <w:t>Declared d or tolerance class</w:t>
            </w:r>
          </w:p>
        </w:tc>
        <w:tc>
          <w:tcPr>
            <w:tcW w:w="1984" w:type="dxa"/>
          </w:tcPr>
          <w:p w:rsidR="000954DD" w:rsidRPr="00C83BD8" w:rsidRDefault="000954DD" w:rsidP="0052726C">
            <w:pPr>
              <w:rPr>
                <w:rFonts w:cs="Arial"/>
                <w:sz w:val="16"/>
                <w:szCs w:val="16"/>
              </w:rPr>
            </w:pPr>
            <w:r w:rsidRPr="00C83BD8">
              <w:rPr>
                <w:rFonts w:cs="Arial"/>
                <w:sz w:val="16"/>
                <w:szCs w:val="16"/>
              </w:rPr>
              <w:t>T5</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FF7837">
            <w:pPr>
              <w:rPr>
                <w:sz w:val="16"/>
                <w:szCs w:val="16"/>
              </w:rPr>
            </w:pPr>
            <w:r w:rsidRPr="00C83BD8">
              <w:rPr>
                <w:sz w:val="16"/>
                <w:szCs w:val="16"/>
              </w:rPr>
              <w:t xml:space="preserve">4.2.4 </w:t>
            </w:r>
            <w:proofErr w:type="spellStart"/>
            <w:r w:rsidRPr="00C83BD8">
              <w:rPr>
                <w:sz w:val="16"/>
                <w:szCs w:val="16"/>
              </w:rPr>
              <w:t>Squareness</w:t>
            </w:r>
            <w:proofErr w:type="spellEnd"/>
          </w:p>
        </w:tc>
        <w:tc>
          <w:tcPr>
            <w:tcW w:w="2410" w:type="dxa"/>
          </w:tcPr>
          <w:p w:rsidR="000954DD" w:rsidRPr="00C83BD8" w:rsidRDefault="000954DD" w:rsidP="008E20B7">
            <w:pPr>
              <w:rPr>
                <w:sz w:val="16"/>
                <w:szCs w:val="16"/>
              </w:rPr>
            </w:pPr>
            <w:r w:rsidRPr="00C83BD8">
              <w:rPr>
                <w:sz w:val="16"/>
                <w:szCs w:val="16"/>
              </w:rPr>
              <w:t>Declared Sb</w:t>
            </w:r>
          </w:p>
        </w:tc>
        <w:tc>
          <w:tcPr>
            <w:tcW w:w="1984" w:type="dxa"/>
          </w:tcPr>
          <w:p w:rsidR="000954DD" w:rsidRPr="00C83BD8" w:rsidRDefault="000954DD" w:rsidP="0052726C">
            <w:pPr>
              <w:rPr>
                <w:rFonts w:cs="Arial"/>
                <w:sz w:val="16"/>
                <w:szCs w:val="16"/>
              </w:rPr>
            </w:pPr>
            <w:r w:rsidRPr="00C83BD8">
              <w:rPr>
                <w:rFonts w:cs="Arial"/>
                <w:sz w:val="16"/>
                <w:szCs w:val="16"/>
              </w:rPr>
              <w:t>±3.0 per 500mm</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FF7837">
            <w:pPr>
              <w:rPr>
                <w:sz w:val="16"/>
                <w:szCs w:val="16"/>
              </w:rPr>
            </w:pPr>
            <w:r w:rsidRPr="00C83BD8">
              <w:rPr>
                <w:sz w:val="16"/>
                <w:szCs w:val="16"/>
              </w:rPr>
              <w:t>4.2.5 Flatness</w:t>
            </w:r>
          </w:p>
        </w:tc>
        <w:tc>
          <w:tcPr>
            <w:tcW w:w="2410" w:type="dxa"/>
          </w:tcPr>
          <w:p w:rsidR="000954DD" w:rsidRPr="00C83BD8" w:rsidRDefault="000954DD" w:rsidP="008E20B7">
            <w:pPr>
              <w:rPr>
                <w:sz w:val="16"/>
                <w:szCs w:val="16"/>
              </w:rPr>
            </w:pPr>
            <w:r w:rsidRPr="00C83BD8">
              <w:rPr>
                <w:sz w:val="16"/>
                <w:szCs w:val="16"/>
              </w:rPr>
              <w:t xml:space="preserve">Declared </w:t>
            </w:r>
            <w:proofErr w:type="spellStart"/>
            <w:r w:rsidRPr="00C83BD8">
              <w:rPr>
                <w:sz w:val="16"/>
                <w:szCs w:val="16"/>
              </w:rPr>
              <w:t>Smax</w:t>
            </w:r>
            <w:proofErr w:type="spellEnd"/>
          </w:p>
        </w:tc>
        <w:tc>
          <w:tcPr>
            <w:tcW w:w="1984" w:type="dxa"/>
          </w:tcPr>
          <w:p w:rsidR="000954DD" w:rsidRPr="00C83BD8" w:rsidRDefault="000954DD" w:rsidP="0052726C">
            <w:pPr>
              <w:rPr>
                <w:rFonts w:cs="Arial"/>
                <w:sz w:val="16"/>
                <w:szCs w:val="16"/>
              </w:rPr>
            </w:pPr>
            <w:r w:rsidRPr="00C83BD8">
              <w:rPr>
                <w:rFonts w:cs="Arial"/>
                <w:sz w:val="16"/>
                <w:szCs w:val="16"/>
              </w:rPr>
              <w:t>±6mm</w:t>
            </w:r>
          </w:p>
        </w:tc>
      </w:tr>
      <w:tr w:rsidR="00BB439B" w:rsidRPr="00C83BD8" w:rsidTr="00BB439B">
        <w:tc>
          <w:tcPr>
            <w:tcW w:w="2552" w:type="dxa"/>
            <w:vMerge w:val="restart"/>
          </w:tcPr>
          <w:p w:rsidR="000954DD" w:rsidRPr="00C83BD8" w:rsidRDefault="000954DD" w:rsidP="001E0ADA">
            <w:pPr>
              <w:rPr>
                <w:sz w:val="16"/>
                <w:szCs w:val="16"/>
              </w:rPr>
            </w:pPr>
            <w:r w:rsidRPr="00C83BD8">
              <w:rPr>
                <w:sz w:val="16"/>
                <w:szCs w:val="16"/>
              </w:rPr>
              <w:t>Water permeability</w:t>
            </w:r>
          </w:p>
        </w:tc>
        <w:tc>
          <w:tcPr>
            <w:tcW w:w="2977" w:type="dxa"/>
          </w:tcPr>
          <w:p w:rsidR="000954DD" w:rsidRPr="00C83BD8" w:rsidRDefault="000954DD" w:rsidP="00FF7837">
            <w:pPr>
              <w:rPr>
                <w:sz w:val="16"/>
                <w:szCs w:val="16"/>
              </w:rPr>
            </w:pPr>
            <w:r w:rsidRPr="00C83BD8">
              <w:rPr>
                <w:sz w:val="16"/>
                <w:szCs w:val="16"/>
              </w:rPr>
              <w:t>4.3.7.1 Short term water absorption</w:t>
            </w:r>
          </w:p>
        </w:tc>
        <w:tc>
          <w:tcPr>
            <w:tcW w:w="2410" w:type="dxa"/>
          </w:tcPr>
          <w:p w:rsidR="000954DD" w:rsidRPr="00C83BD8" w:rsidRDefault="000954DD" w:rsidP="008E20B7">
            <w:pPr>
              <w:rPr>
                <w:sz w:val="16"/>
                <w:szCs w:val="16"/>
              </w:rPr>
            </w:pPr>
            <w:r w:rsidRPr="00C83BD8">
              <w:rPr>
                <w:sz w:val="16"/>
                <w:szCs w:val="16"/>
              </w:rPr>
              <w:t xml:space="preserve">Declared </w:t>
            </w:r>
            <w:proofErr w:type="spellStart"/>
            <w:r w:rsidRPr="00C83BD8">
              <w:rPr>
                <w:sz w:val="16"/>
                <w:szCs w:val="16"/>
              </w:rPr>
              <w:t>Wp</w:t>
            </w:r>
            <w:proofErr w:type="spellEnd"/>
            <w:r w:rsidRPr="00C83BD8">
              <w:rPr>
                <w:sz w:val="16"/>
                <w:szCs w:val="16"/>
              </w:rPr>
              <w:t>, WI(t) or WI(p)</w:t>
            </w:r>
          </w:p>
        </w:tc>
        <w:tc>
          <w:tcPr>
            <w:tcW w:w="1984" w:type="dxa"/>
          </w:tcPr>
          <w:p w:rsidR="000954DD" w:rsidRPr="00C83BD8" w:rsidRDefault="000954DD" w:rsidP="0052726C">
            <w:pPr>
              <w:rPr>
                <w:rFonts w:cs="Arial"/>
                <w:sz w:val="16"/>
                <w:szCs w:val="16"/>
              </w:rPr>
            </w:pPr>
            <w:r w:rsidRPr="00C83BD8">
              <w:rPr>
                <w:rFonts w:cs="Arial"/>
                <w:sz w:val="16"/>
                <w:szCs w:val="16"/>
              </w:rPr>
              <w:t>NPD</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FF7837">
            <w:pPr>
              <w:rPr>
                <w:sz w:val="16"/>
                <w:szCs w:val="16"/>
              </w:rPr>
            </w:pPr>
            <w:r w:rsidRPr="00C83BD8">
              <w:rPr>
                <w:sz w:val="16"/>
                <w:szCs w:val="16"/>
              </w:rPr>
              <w:t>4.3.7.2 Long term water absorption</w:t>
            </w:r>
          </w:p>
        </w:tc>
        <w:tc>
          <w:tcPr>
            <w:tcW w:w="2410" w:type="dxa"/>
          </w:tcPr>
          <w:p w:rsidR="000954DD" w:rsidRPr="00C83BD8" w:rsidRDefault="000954DD" w:rsidP="00FF7837">
            <w:pPr>
              <w:rPr>
                <w:sz w:val="16"/>
                <w:szCs w:val="16"/>
              </w:rPr>
            </w:pPr>
            <w:r w:rsidRPr="00C83BD8">
              <w:rPr>
                <w:sz w:val="16"/>
                <w:szCs w:val="16"/>
              </w:rPr>
              <w:t xml:space="preserve">Declared </w:t>
            </w:r>
            <w:proofErr w:type="spellStart"/>
            <w:r w:rsidRPr="00C83BD8">
              <w:rPr>
                <w:sz w:val="16"/>
                <w:szCs w:val="16"/>
              </w:rPr>
              <w:t>Wp</w:t>
            </w:r>
            <w:proofErr w:type="spellEnd"/>
            <w:r w:rsidRPr="00C83BD8">
              <w:rPr>
                <w:sz w:val="16"/>
                <w:szCs w:val="16"/>
              </w:rPr>
              <w:t>, WI(t) or WI(p)</w:t>
            </w:r>
          </w:p>
        </w:tc>
        <w:tc>
          <w:tcPr>
            <w:tcW w:w="1984" w:type="dxa"/>
          </w:tcPr>
          <w:p w:rsidR="000954DD" w:rsidRPr="00C83BD8" w:rsidRDefault="000954DD" w:rsidP="00FF7837">
            <w:pPr>
              <w:rPr>
                <w:rFonts w:cs="Arial"/>
                <w:sz w:val="16"/>
                <w:szCs w:val="16"/>
              </w:rPr>
            </w:pPr>
            <w:r w:rsidRPr="00C83BD8">
              <w:rPr>
                <w:rFonts w:cs="Arial"/>
                <w:sz w:val="16"/>
                <w:szCs w:val="16"/>
              </w:rPr>
              <w:t>NPD</w:t>
            </w:r>
          </w:p>
        </w:tc>
      </w:tr>
      <w:tr w:rsidR="00BB439B" w:rsidRPr="00C83BD8" w:rsidTr="00BB439B">
        <w:tc>
          <w:tcPr>
            <w:tcW w:w="2552" w:type="dxa"/>
          </w:tcPr>
          <w:p w:rsidR="0052726C" w:rsidRPr="00C83BD8" w:rsidRDefault="0052726C" w:rsidP="001E0ADA">
            <w:pPr>
              <w:rPr>
                <w:sz w:val="16"/>
                <w:szCs w:val="16"/>
              </w:rPr>
            </w:pPr>
            <w:r w:rsidRPr="00C83BD8">
              <w:rPr>
                <w:sz w:val="16"/>
                <w:szCs w:val="16"/>
              </w:rPr>
              <w:t>Water vapour permeability</w:t>
            </w:r>
          </w:p>
        </w:tc>
        <w:tc>
          <w:tcPr>
            <w:tcW w:w="2977" w:type="dxa"/>
          </w:tcPr>
          <w:p w:rsidR="0052726C" w:rsidRPr="00C83BD8" w:rsidRDefault="0052726C" w:rsidP="00FF7837">
            <w:pPr>
              <w:rPr>
                <w:sz w:val="16"/>
                <w:szCs w:val="16"/>
              </w:rPr>
            </w:pPr>
            <w:r w:rsidRPr="00C83BD8">
              <w:rPr>
                <w:sz w:val="16"/>
                <w:szCs w:val="16"/>
              </w:rPr>
              <w:t>4.3.8 Water vapour transmission</w:t>
            </w:r>
          </w:p>
        </w:tc>
        <w:tc>
          <w:tcPr>
            <w:tcW w:w="2410" w:type="dxa"/>
          </w:tcPr>
          <w:p w:rsidR="0052726C" w:rsidRPr="00C83BD8" w:rsidRDefault="0052726C" w:rsidP="00FF7837">
            <w:pPr>
              <w:rPr>
                <w:sz w:val="16"/>
                <w:szCs w:val="16"/>
              </w:rPr>
            </w:pPr>
            <w:r w:rsidRPr="00C83BD8">
              <w:rPr>
                <w:sz w:val="16"/>
                <w:szCs w:val="16"/>
              </w:rPr>
              <w:t xml:space="preserve">Declared </w:t>
            </w:r>
            <w:r w:rsidR="00AB35DE" w:rsidRPr="00C83BD8">
              <w:rPr>
                <w:rFonts w:cs="Arial"/>
                <w:sz w:val="16"/>
                <w:szCs w:val="16"/>
              </w:rPr>
              <w:t>μ or Z</w:t>
            </w:r>
          </w:p>
        </w:tc>
        <w:tc>
          <w:tcPr>
            <w:tcW w:w="1984" w:type="dxa"/>
          </w:tcPr>
          <w:p w:rsidR="0052726C" w:rsidRPr="00C83BD8" w:rsidRDefault="00AB35DE" w:rsidP="00FF7837">
            <w:pPr>
              <w:rPr>
                <w:rFonts w:cs="Arial"/>
                <w:sz w:val="16"/>
                <w:szCs w:val="16"/>
              </w:rPr>
            </w:pPr>
            <w:r w:rsidRPr="00C83BD8">
              <w:rPr>
                <w:rFonts w:cs="Arial"/>
                <w:sz w:val="16"/>
                <w:szCs w:val="16"/>
              </w:rPr>
              <w:t>MU1</w:t>
            </w:r>
          </w:p>
        </w:tc>
      </w:tr>
      <w:tr w:rsidR="00BB439B" w:rsidRPr="00C83BD8" w:rsidTr="00BB439B">
        <w:tc>
          <w:tcPr>
            <w:tcW w:w="2552" w:type="dxa"/>
            <w:vMerge w:val="restart"/>
          </w:tcPr>
          <w:p w:rsidR="000954DD" w:rsidRPr="00C83BD8" w:rsidRDefault="000954DD" w:rsidP="001E0ADA">
            <w:pPr>
              <w:rPr>
                <w:sz w:val="16"/>
                <w:szCs w:val="16"/>
              </w:rPr>
            </w:pPr>
            <w:r w:rsidRPr="00C83BD8">
              <w:rPr>
                <w:sz w:val="16"/>
                <w:szCs w:val="16"/>
              </w:rPr>
              <w:t>Compressive strength</w:t>
            </w:r>
          </w:p>
        </w:tc>
        <w:tc>
          <w:tcPr>
            <w:tcW w:w="2977" w:type="dxa"/>
          </w:tcPr>
          <w:p w:rsidR="000954DD" w:rsidRPr="00C83BD8" w:rsidRDefault="000954DD" w:rsidP="00FF7837">
            <w:pPr>
              <w:rPr>
                <w:sz w:val="16"/>
                <w:szCs w:val="16"/>
              </w:rPr>
            </w:pPr>
            <w:r w:rsidRPr="00C83BD8">
              <w:rPr>
                <w:sz w:val="16"/>
                <w:szCs w:val="16"/>
              </w:rPr>
              <w:t>4.3.3 Compressive stress or compressive strength</w:t>
            </w:r>
          </w:p>
        </w:tc>
        <w:tc>
          <w:tcPr>
            <w:tcW w:w="2410" w:type="dxa"/>
          </w:tcPr>
          <w:p w:rsidR="000954DD" w:rsidRPr="00C83BD8" w:rsidRDefault="000954DD" w:rsidP="00FF7837">
            <w:pPr>
              <w:rPr>
                <w:sz w:val="16"/>
                <w:szCs w:val="16"/>
              </w:rPr>
            </w:pPr>
            <w:r w:rsidRPr="00C83BD8">
              <w:rPr>
                <w:sz w:val="16"/>
                <w:szCs w:val="16"/>
              </w:rPr>
              <w:t>Declared CS</w:t>
            </w:r>
          </w:p>
        </w:tc>
        <w:tc>
          <w:tcPr>
            <w:tcW w:w="1984" w:type="dxa"/>
          </w:tcPr>
          <w:p w:rsidR="000954DD" w:rsidRPr="00C83BD8" w:rsidRDefault="000954DD" w:rsidP="00FF7837">
            <w:pPr>
              <w:rPr>
                <w:rFonts w:cs="Arial"/>
                <w:sz w:val="16"/>
                <w:szCs w:val="16"/>
              </w:rPr>
            </w:pPr>
            <w:r w:rsidRPr="00C83BD8">
              <w:rPr>
                <w:rFonts w:cs="Arial"/>
                <w:sz w:val="16"/>
                <w:szCs w:val="16"/>
              </w:rPr>
              <w:t>NPD</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FF7837">
            <w:pPr>
              <w:rPr>
                <w:sz w:val="16"/>
                <w:szCs w:val="16"/>
              </w:rPr>
            </w:pPr>
            <w:r w:rsidRPr="00C83BD8">
              <w:rPr>
                <w:sz w:val="16"/>
                <w:szCs w:val="16"/>
              </w:rPr>
              <w:t>4.3.5 Point load</w:t>
            </w:r>
          </w:p>
        </w:tc>
        <w:tc>
          <w:tcPr>
            <w:tcW w:w="2410" w:type="dxa"/>
          </w:tcPr>
          <w:p w:rsidR="000954DD" w:rsidRPr="00C83BD8" w:rsidRDefault="000954DD" w:rsidP="00FF7837">
            <w:pPr>
              <w:rPr>
                <w:sz w:val="16"/>
                <w:szCs w:val="16"/>
              </w:rPr>
            </w:pPr>
            <w:r w:rsidRPr="00C83BD8">
              <w:rPr>
                <w:sz w:val="16"/>
                <w:szCs w:val="16"/>
              </w:rPr>
              <w:t xml:space="preserve">Declared </w:t>
            </w:r>
            <w:proofErr w:type="spellStart"/>
            <w:r w:rsidRPr="00C83BD8">
              <w:rPr>
                <w:sz w:val="16"/>
                <w:szCs w:val="16"/>
              </w:rPr>
              <w:t>Fp</w:t>
            </w:r>
            <w:proofErr w:type="spellEnd"/>
          </w:p>
        </w:tc>
        <w:tc>
          <w:tcPr>
            <w:tcW w:w="1984" w:type="dxa"/>
          </w:tcPr>
          <w:p w:rsidR="000954DD" w:rsidRPr="00C83BD8" w:rsidRDefault="000954DD" w:rsidP="00FF7837">
            <w:pPr>
              <w:rPr>
                <w:rFonts w:cs="Arial"/>
                <w:sz w:val="16"/>
                <w:szCs w:val="16"/>
              </w:rPr>
            </w:pPr>
            <w:r w:rsidRPr="00C83BD8">
              <w:rPr>
                <w:rFonts w:cs="Arial"/>
                <w:sz w:val="16"/>
                <w:szCs w:val="16"/>
              </w:rPr>
              <w:t>NPD</w:t>
            </w:r>
          </w:p>
        </w:tc>
      </w:tr>
      <w:tr w:rsidR="00BB439B" w:rsidRPr="00C83BD8" w:rsidTr="00BB439B">
        <w:tc>
          <w:tcPr>
            <w:tcW w:w="2552" w:type="dxa"/>
          </w:tcPr>
          <w:p w:rsidR="00AB35DE" w:rsidRPr="00C83BD8" w:rsidRDefault="00AB35DE" w:rsidP="001E0ADA">
            <w:pPr>
              <w:rPr>
                <w:sz w:val="16"/>
                <w:szCs w:val="16"/>
              </w:rPr>
            </w:pPr>
            <w:r w:rsidRPr="00C83BD8">
              <w:rPr>
                <w:sz w:val="16"/>
                <w:szCs w:val="16"/>
              </w:rPr>
              <w:t>Durability of reaction to fire against heat, weathering, ageing/degradation</w:t>
            </w:r>
          </w:p>
        </w:tc>
        <w:tc>
          <w:tcPr>
            <w:tcW w:w="2977" w:type="dxa"/>
          </w:tcPr>
          <w:p w:rsidR="00AB35DE" w:rsidRPr="00C83BD8" w:rsidRDefault="00AB35DE" w:rsidP="00FF7837">
            <w:pPr>
              <w:rPr>
                <w:sz w:val="16"/>
                <w:szCs w:val="16"/>
              </w:rPr>
            </w:pPr>
            <w:r w:rsidRPr="00C83BD8">
              <w:rPr>
                <w:sz w:val="16"/>
                <w:szCs w:val="16"/>
              </w:rPr>
              <w:t xml:space="preserve">4.2.9 Durability characteristics </w:t>
            </w:r>
            <w:r w:rsidRPr="00C83BD8">
              <w:rPr>
                <w:sz w:val="16"/>
                <w:szCs w:val="16"/>
                <w:vertAlign w:val="superscript"/>
              </w:rPr>
              <w:t>a)</w:t>
            </w:r>
          </w:p>
        </w:tc>
        <w:tc>
          <w:tcPr>
            <w:tcW w:w="2410" w:type="dxa"/>
          </w:tcPr>
          <w:p w:rsidR="00AB35DE" w:rsidRPr="00C83BD8" w:rsidRDefault="00AB35DE" w:rsidP="00FF7837">
            <w:pPr>
              <w:rPr>
                <w:sz w:val="16"/>
                <w:szCs w:val="16"/>
              </w:rPr>
            </w:pPr>
            <w:r w:rsidRPr="00C83BD8">
              <w:rPr>
                <w:sz w:val="16"/>
                <w:szCs w:val="16"/>
                <w:vertAlign w:val="superscript"/>
              </w:rPr>
              <w:t>b)</w:t>
            </w:r>
          </w:p>
        </w:tc>
        <w:tc>
          <w:tcPr>
            <w:tcW w:w="1984" w:type="dxa"/>
          </w:tcPr>
          <w:p w:rsidR="00AB35DE" w:rsidRPr="00C83BD8" w:rsidRDefault="00AB35DE" w:rsidP="00FF7837">
            <w:pPr>
              <w:rPr>
                <w:rFonts w:cs="Arial"/>
                <w:sz w:val="16"/>
                <w:szCs w:val="16"/>
              </w:rPr>
            </w:pPr>
            <w:r w:rsidRPr="00C83BD8">
              <w:rPr>
                <w:rFonts w:cs="Arial"/>
                <w:sz w:val="16"/>
                <w:szCs w:val="16"/>
              </w:rPr>
              <w:t>NPD</w:t>
            </w:r>
          </w:p>
        </w:tc>
      </w:tr>
      <w:tr w:rsidR="00BB439B" w:rsidRPr="00C83BD8" w:rsidTr="00BB439B">
        <w:tc>
          <w:tcPr>
            <w:tcW w:w="2552" w:type="dxa"/>
            <w:vMerge w:val="restart"/>
          </w:tcPr>
          <w:p w:rsidR="000954DD" w:rsidRPr="00C83BD8" w:rsidRDefault="000954DD" w:rsidP="001E0ADA">
            <w:pPr>
              <w:rPr>
                <w:sz w:val="16"/>
                <w:szCs w:val="16"/>
              </w:rPr>
            </w:pPr>
            <w:r w:rsidRPr="00C83BD8">
              <w:rPr>
                <w:sz w:val="16"/>
                <w:szCs w:val="16"/>
              </w:rPr>
              <w:t>Durability of thermal resistance against heat, weathering, ageing/degradation</w:t>
            </w:r>
          </w:p>
        </w:tc>
        <w:tc>
          <w:tcPr>
            <w:tcW w:w="2977" w:type="dxa"/>
          </w:tcPr>
          <w:p w:rsidR="000954DD" w:rsidRPr="00C83BD8" w:rsidRDefault="000954DD" w:rsidP="00FF7837">
            <w:pPr>
              <w:rPr>
                <w:sz w:val="16"/>
                <w:szCs w:val="16"/>
              </w:rPr>
            </w:pPr>
            <w:r w:rsidRPr="00C83BD8">
              <w:rPr>
                <w:sz w:val="16"/>
                <w:szCs w:val="16"/>
              </w:rPr>
              <w:t>4.2.1 Thermal resistance and thermal conductivity</w:t>
            </w:r>
          </w:p>
        </w:tc>
        <w:tc>
          <w:tcPr>
            <w:tcW w:w="2410" w:type="dxa"/>
          </w:tcPr>
          <w:p w:rsidR="000954DD" w:rsidRPr="00C83BD8" w:rsidRDefault="000954DD" w:rsidP="00FF7837">
            <w:pPr>
              <w:rPr>
                <w:sz w:val="16"/>
                <w:szCs w:val="16"/>
                <w:vertAlign w:val="superscript"/>
              </w:rPr>
            </w:pPr>
            <w:r w:rsidRPr="00C83BD8">
              <w:rPr>
                <w:sz w:val="16"/>
                <w:szCs w:val="16"/>
              </w:rPr>
              <w:t xml:space="preserve">Declared R and </w:t>
            </w:r>
            <w:r w:rsidRPr="00C83BD8">
              <w:rPr>
                <w:rFonts w:cs="Arial"/>
                <w:color w:val="000000"/>
                <w:sz w:val="16"/>
                <w:szCs w:val="16"/>
              </w:rPr>
              <w:t>λ</w:t>
            </w:r>
            <w:r w:rsidRPr="00C83BD8">
              <w:rPr>
                <w:sz w:val="16"/>
                <w:szCs w:val="16"/>
              </w:rPr>
              <w:t xml:space="preserve"> if possible </w:t>
            </w:r>
            <w:r w:rsidRPr="00C83BD8">
              <w:rPr>
                <w:sz w:val="16"/>
                <w:szCs w:val="16"/>
                <w:vertAlign w:val="superscript"/>
              </w:rPr>
              <w:t>c)</w:t>
            </w:r>
          </w:p>
        </w:tc>
        <w:tc>
          <w:tcPr>
            <w:tcW w:w="1984" w:type="dxa"/>
          </w:tcPr>
          <w:p w:rsidR="000954DD" w:rsidRPr="00C83BD8" w:rsidRDefault="000954DD" w:rsidP="00FF7837">
            <w:pPr>
              <w:rPr>
                <w:rFonts w:cs="Arial"/>
                <w:sz w:val="16"/>
                <w:szCs w:val="16"/>
              </w:rPr>
            </w:pPr>
            <w:r w:rsidRPr="00C83BD8">
              <w:rPr>
                <w:rFonts w:cs="Arial"/>
                <w:sz w:val="16"/>
                <w:szCs w:val="16"/>
              </w:rPr>
              <w:t>NPD</w:t>
            </w:r>
          </w:p>
        </w:tc>
      </w:tr>
      <w:tr w:rsidR="00BB439B" w:rsidRPr="00C83BD8" w:rsidTr="00BB439B">
        <w:tc>
          <w:tcPr>
            <w:tcW w:w="2552" w:type="dxa"/>
            <w:vMerge/>
          </w:tcPr>
          <w:p w:rsidR="000954DD" w:rsidRPr="00C83BD8" w:rsidRDefault="000954DD" w:rsidP="001E0ADA">
            <w:pPr>
              <w:rPr>
                <w:sz w:val="16"/>
                <w:szCs w:val="16"/>
              </w:rPr>
            </w:pPr>
          </w:p>
        </w:tc>
        <w:tc>
          <w:tcPr>
            <w:tcW w:w="2977" w:type="dxa"/>
          </w:tcPr>
          <w:p w:rsidR="000954DD" w:rsidRPr="00C83BD8" w:rsidRDefault="000954DD" w:rsidP="00FF7837">
            <w:pPr>
              <w:rPr>
                <w:sz w:val="16"/>
                <w:szCs w:val="16"/>
              </w:rPr>
            </w:pPr>
            <w:r w:rsidRPr="00C83BD8">
              <w:rPr>
                <w:sz w:val="16"/>
                <w:szCs w:val="16"/>
              </w:rPr>
              <w:t>4.2.9 Durability characteristics</w:t>
            </w:r>
          </w:p>
        </w:tc>
        <w:tc>
          <w:tcPr>
            <w:tcW w:w="2410" w:type="dxa"/>
          </w:tcPr>
          <w:p w:rsidR="000954DD" w:rsidRPr="00C83BD8" w:rsidRDefault="000954DD" w:rsidP="00FF7837">
            <w:pPr>
              <w:rPr>
                <w:sz w:val="16"/>
                <w:szCs w:val="16"/>
              </w:rPr>
            </w:pPr>
            <w:r w:rsidRPr="00C83BD8">
              <w:rPr>
                <w:sz w:val="16"/>
                <w:szCs w:val="16"/>
                <w:vertAlign w:val="superscript"/>
              </w:rPr>
              <w:t>d)</w:t>
            </w:r>
          </w:p>
        </w:tc>
        <w:tc>
          <w:tcPr>
            <w:tcW w:w="1984" w:type="dxa"/>
          </w:tcPr>
          <w:p w:rsidR="000954DD" w:rsidRPr="00C83BD8" w:rsidRDefault="000954DD" w:rsidP="00FF7837">
            <w:pPr>
              <w:rPr>
                <w:rFonts w:cs="Arial"/>
                <w:sz w:val="16"/>
                <w:szCs w:val="16"/>
              </w:rPr>
            </w:pPr>
            <w:r w:rsidRPr="00C83BD8">
              <w:rPr>
                <w:rFonts w:cs="Arial"/>
                <w:sz w:val="16"/>
                <w:szCs w:val="16"/>
              </w:rPr>
              <w:t>NPD</w:t>
            </w:r>
          </w:p>
        </w:tc>
      </w:tr>
      <w:tr w:rsidR="00BB439B" w:rsidRPr="00C83BD8" w:rsidTr="00BB439B">
        <w:tc>
          <w:tcPr>
            <w:tcW w:w="2552" w:type="dxa"/>
          </w:tcPr>
          <w:p w:rsidR="00AB35DE" w:rsidRPr="00C83BD8" w:rsidRDefault="00AB35DE" w:rsidP="001E0ADA">
            <w:pPr>
              <w:rPr>
                <w:sz w:val="16"/>
                <w:szCs w:val="16"/>
              </w:rPr>
            </w:pPr>
            <w:r w:rsidRPr="00C83BD8">
              <w:rPr>
                <w:sz w:val="16"/>
                <w:szCs w:val="16"/>
              </w:rPr>
              <w:t>Tensile/Flexural strength</w:t>
            </w:r>
          </w:p>
        </w:tc>
        <w:tc>
          <w:tcPr>
            <w:tcW w:w="2977" w:type="dxa"/>
          </w:tcPr>
          <w:p w:rsidR="00AB35DE" w:rsidRPr="00C83BD8" w:rsidRDefault="00AB35DE" w:rsidP="00FF7837">
            <w:pPr>
              <w:rPr>
                <w:sz w:val="16"/>
                <w:szCs w:val="16"/>
              </w:rPr>
            </w:pPr>
            <w:r w:rsidRPr="00C83BD8">
              <w:rPr>
                <w:sz w:val="16"/>
                <w:szCs w:val="16"/>
              </w:rPr>
              <w:t xml:space="preserve">4.3.4 Tensile strength perpendicular to faces </w:t>
            </w:r>
            <w:r w:rsidRPr="00C83BD8">
              <w:rPr>
                <w:sz w:val="16"/>
                <w:szCs w:val="16"/>
                <w:vertAlign w:val="superscript"/>
              </w:rPr>
              <w:t>e)</w:t>
            </w:r>
          </w:p>
        </w:tc>
        <w:tc>
          <w:tcPr>
            <w:tcW w:w="2410" w:type="dxa"/>
          </w:tcPr>
          <w:p w:rsidR="00AB35DE" w:rsidRPr="00C83BD8" w:rsidRDefault="00AB35DE" w:rsidP="00FF7837">
            <w:pPr>
              <w:rPr>
                <w:sz w:val="16"/>
                <w:szCs w:val="16"/>
                <w:vertAlign w:val="superscript"/>
              </w:rPr>
            </w:pPr>
            <w:r w:rsidRPr="00C83BD8">
              <w:rPr>
                <w:sz w:val="16"/>
                <w:szCs w:val="16"/>
              </w:rPr>
              <w:t>Declared TR</w:t>
            </w:r>
          </w:p>
        </w:tc>
        <w:tc>
          <w:tcPr>
            <w:tcW w:w="1984" w:type="dxa"/>
          </w:tcPr>
          <w:p w:rsidR="00AB35DE" w:rsidRPr="00C83BD8" w:rsidRDefault="00AB35DE" w:rsidP="00FF7837">
            <w:pPr>
              <w:rPr>
                <w:rFonts w:cs="Arial"/>
                <w:sz w:val="16"/>
                <w:szCs w:val="16"/>
              </w:rPr>
            </w:pPr>
            <w:r w:rsidRPr="00C83BD8">
              <w:rPr>
                <w:rFonts w:cs="Arial"/>
                <w:sz w:val="16"/>
                <w:szCs w:val="16"/>
              </w:rPr>
              <w:t>NPD</w:t>
            </w:r>
          </w:p>
        </w:tc>
      </w:tr>
      <w:tr w:rsidR="00BB439B" w:rsidRPr="00C83BD8" w:rsidTr="00BB439B">
        <w:tc>
          <w:tcPr>
            <w:tcW w:w="2552" w:type="dxa"/>
          </w:tcPr>
          <w:p w:rsidR="00AB35DE" w:rsidRPr="00C83BD8" w:rsidRDefault="00AB35DE" w:rsidP="001E0ADA">
            <w:pPr>
              <w:rPr>
                <w:sz w:val="16"/>
                <w:szCs w:val="16"/>
              </w:rPr>
            </w:pPr>
            <w:r w:rsidRPr="00C83BD8">
              <w:rPr>
                <w:sz w:val="16"/>
                <w:szCs w:val="16"/>
              </w:rPr>
              <w:t>Durability of compressive strength against ageing/degradation</w:t>
            </w:r>
          </w:p>
        </w:tc>
        <w:tc>
          <w:tcPr>
            <w:tcW w:w="2977" w:type="dxa"/>
          </w:tcPr>
          <w:p w:rsidR="00AB35DE" w:rsidRPr="00C83BD8" w:rsidRDefault="00AB35DE" w:rsidP="00FF7837">
            <w:pPr>
              <w:rPr>
                <w:sz w:val="16"/>
                <w:szCs w:val="16"/>
              </w:rPr>
            </w:pPr>
            <w:r w:rsidRPr="00C83BD8">
              <w:rPr>
                <w:sz w:val="16"/>
                <w:szCs w:val="16"/>
              </w:rPr>
              <w:t>4.3.6 Compressive creep</w:t>
            </w:r>
          </w:p>
        </w:tc>
        <w:tc>
          <w:tcPr>
            <w:tcW w:w="2410" w:type="dxa"/>
          </w:tcPr>
          <w:p w:rsidR="00AB35DE" w:rsidRPr="00C83BD8" w:rsidRDefault="00AB35DE" w:rsidP="00FF7837">
            <w:pPr>
              <w:rPr>
                <w:sz w:val="16"/>
                <w:szCs w:val="16"/>
              </w:rPr>
            </w:pPr>
            <w:r w:rsidRPr="00C83BD8">
              <w:rPr>
                <w:sz w:val="16"/>
                <w:szCs w:val="16"/>
              </w:rPr>
              <w:t xml:space="preserve">Declared </w:t>
            </w:r>
            <w:proofErr w:type="spellStart"/>
            <w:r w:rsidRPr="00C83BD8">
              <w:rPr>
                <w:sz w:val="16"/>
                <w:szCs w:val="16"/>
              </w:rPr>
              <w:t>Xct</w:t>
            </w:r>
            <w:proofErr w:type="spellEnd"/>
            <w:r w:rsidRPr="00C83BD8">
              <w:rPr>
                <w:sz w:val="16"/>
                <w:szCs w:val="16"/>
              </w:rPr>
              <w:t xml:space="preserve"> and </w:t>
            </w:r>
            <w:proofErr w:type="spellStart"/>
            <w:r w:rsidRPr="00C83BD8">
              <w:rPr>
                <w:sz w:val="16"/>
                <w:szCs w:val="16"/>
              </w:rPr>
              <w:t>Xt</w:t>
            </w:r>
            <w:proofErr w:type="spellEnd"/>
          </w:p>
        </w:tc>
        <w:tc>
          <w:tcPr>
            <w:tcW w:w="1984" w:type="dxa"/>
          </w:tcPr>
          <w:p w:rsidR="00AB35DE" w:rsidRPr="00C83BD8" w:rsidRDefault="00AB35DE" w:rsidP="00FF7837">
            <w:pPr>
              <w:rPr>
                <w:rFonts w:cs="Arial"/>
                <w:sz w:val="16"/>
                <w:szCs w:val="16"/>
              </w:rPr>
            </w:pPr>
            <w:r w:rsidRPr="00C83BD8">
              <w:rPr>
                <w:rFonts w:cs="Arial"/>
                <w:sz w:val="16"/>
                <w:szCs w:val="16"/>
              </w:rPr>
              <w:t>NPD</w:t>
            </w:r>
          </w:p>
        </w:tc>
      </w:tr>
    </w:tbl>
    <w:p w:rsidR="00F3193B" w:rsidRPr="00C83BD8" w:rsidRDefault="00F3193B" w:rsidP="001E0ADA">
      <w:pPr>
        <w:rPr>
          <w:i/>
          <w:sz w:val="16"/>
          <w:szCs w:val="16"/>
        </w:rPr>
      </w:pPr>
    </w:p>
    <w:p w:rsidR="00F3193B" w:rsidRPr="00C83BD8" w:rsidRDefault="00AB35DE" w:rsidP="001E0ADA">
      <w:pPr>
        <w:rPr>
          <w:sz w:val="14"/>
          <w:szCs w:val="14"/>
        </w:rPr>
      </w:pPr>
      <w:r w:rsidRPr="00C83BD8">
        <w:rPr>
          <w:sz w:val="16"/>
          <w:szCs w:val="16"/>
          <w:vertAlign w:val="superscript"/>
        </w:rPr>
        <w:t>a)</w:t>
      </w:r>
      <w:r w:rsidRPr="00C83BD8">
        <w:rPr>
          <w:sz w:val="16"/>
          <w:szCs w:val="16"/>
        </w:rPr>
        <w:t xml:space="preserve"> </w:t>
      </w:r>
      <w:r w:rsidRPr="00C83BD8">
        <w:rPr>
          <w:sz w:val="14"/>
          <w:szCs w:val="14"/>
        </w:rPr>
        <w:t>No change in reaction to fire properties for mineral wool products.</w:t>
      </w:r>
    </w:p>
    <w:p w:rsidR="00AB35DE" w:rsidRPr="00C83BD8" w:rsidRDefault="00AB35DE" w:rsidP="001E0ADA">
      <w:pPr>
        <w:rPr>
          <w:sz w:val="14"/>
          <w:szCs w:val="14"/>
        </w:rPr>
      </w:pPr>
      <w:r w:rsidRPr="00C83BD8">
        <w:rPr>
          <w:sz w:val="14"/>
          <w:szCs w:val="14"/>
          <w:vertAlign w:val="superscript"/>
        </w:rPr>
        <w:t>b)</w:t>
      </w:r>
      <w:r w:rsidRPr="00C83BD8">
        <w:rPr>
          <w:sz w:val="14"/>
          <w:szCs w:val="14"/>
        </w:rPr>
        <w:t xml:space="preserve"> The fire performance of mineral wool does not deteriorate with time. The </w:t>
      </w:r>
      <w:proofErr w:type="spellStart"/>
      <w:r w:rsidRPr="00C83BD8">
        <w:rPr>
          <w:sz w:val="14"/>
          <w:szCs w:val="14"/>
        </w:rPr>
        <w:t>Euroclass</w:t>
      </w:r>
      <w:proofErr w:type="spellEnd"/>
      <w:r w:rsidRPr="00C83BD8">
        <w:rPr>
          <w:sz w:val="14"/>
          <w:szCs w:val="14"/>
        </w:rPr>
        <w:t xml:space="preserve"> classification of the product is related</w:t>
      </w:r>
      <w:r w:rsidR="0005631E">
        <w:rPr>
          <w:sz w:val="14"/>
          <w:szCs w:val="14"/>
        </w:rPr>
        <w:t xml:space="preserve"> to</w:t>
      </w:r>
      <w:r w:rsidRPr="00C83BD8">
        <w:rPr>
          <w:sz w:val="14"/>
          <w:szCs w:val="14"/>
        </w:rPr>
        <w:t xml:space="preserve"> the organic content, which cannot increase with time</w:t>
      </w:r>
      <w:r w:rsidR="008B4AEC" w:rsidRPr="00C83BD8">
        <w:rPr>
          <w:sz w:val="14"/>
          <w:szCs w:val="14"/>
        </w:rPr>
        <w:t xml:space="preserve">. </w:t>
      </w:r>
    </w:p>
    <w:p w:rsidR="008B4AEC" w:rsidRPr="00C83BD8" w:rsidRDefault="008B4AEC" w:rsidP="001E0ADA">
      <w:pPr>
        <w:rPr>
          <w:sz w:val="14"/>
          <w:szCs w:val="14"/>
        </w:rPr>
      </w:pPr>
      <w:r w:rsidRPr="00C83BD8">
        <w:rPr>
          <w:sz w:val="14"/>
          <w:szCs w:val="14"/>
          <w:vertAlign w:val="superscript"/>
        </w:rPr>
        <w:t>c)</w:t>
      </w:r>
      <w:r w:rsidRPr="00C83BD8">
        <w:rPr>
          <w:sz w:val="14"/>
          <w:szCs w:val="14"/>
        </w:rPr>
        <w:t xml:space="preserve"> Thermal conductivity of mineral wool products does not change with time, experience has shown the fibre structure to be stable and the porosity contains n</w:t>
      </w:r>
      <w:r w:rsidR="00044C1F">
        <w:rPr>
          <w:sz w:val="14"/>
          <w:szCs w:val="14"/>
        </w:rPr>
        <w:t xml:space="preserve">o </w:t>
      </w:r>
      <w:r w:rsidRPr="00C83BD8">
        <w:rPr>
          <w:sz w:val="14"/>
          <w:szCs w:val="14"/>
        </w:rPr>
        <w:t>other gases than atmospheric air.</w:t>
      </w:r>
    </w:p>
    <w:p w:rsidR="008B4AEC" w:rsidRPr="00C83BD8" w:rsidRDefault="008B4AEC" w:rsidP="001E0ADA">
      <w:pPr>
        <w:rPr>
          <w:sz w:val="14"/>
          <w:szCs w:val="14"/>
        </w:rPr>
      </w:pPr>
      <w:r w:rsidRPr="00C83BD8">
        <w:rPr>
          <w:sz w:val="14"/>
          <w:szCs w:val="14"/>
          <w:vertAlign w:val="superscript"/>
        </w:rPr>
        <w:t>d)</w:t>
      </w:r>
      <w:r w:rsidRPr="00C83BD8">
        <w:rPr>
          <w:sz w:val="14"/>
          <w:szCs w:val="14"/>
        </w:rPr>
        <w:t xml:space="preserve"> For dimensional stability thickness only.</w:t>
      </w:r>
    </w:p>
    <w:p w:rsidR="008B4AEC" w:rsidRPr="00C83BD8" w:rsidRDefault="008B4AEC" w:rsidP="001E0ADA">
      <w:pPr>
        <w:rPr>
          <w:sz w:val="14"/>
          <w:szCs w:val="14"/>
        </w:rPr>
      </w:pPr>
      <w:r w:rsidRPr="00C83BD8">
        <w:rPr>
          <w:sz w:val="14"/>
          <w:szCs w:val="14"/>
          <w:vertAlign w:val="superscript"/>
        </w:rPr>
        <w:t>e)</w:t>
      </w:r>
      <w:r w:rsidRPr="00C83BD8">
        <w:rPr>
          <w:sz w:val="14"/>
          <w:szCs w:val="14"/>
        </w:rPr>
        <w:t xml:space="preserve"> This characteristic also covers handling and installation.</w:t>
      </w:r>
    </w:p>
    <w:p w:rsidR="008B4AEC" w:rsidRPr="00C83BD8" w:rsidRDefault="008B4AEC" w:rsidP="001E0ADA">
      <w:pPr>
        <w:rPr>
          <w:sz w:val="16"/>
          <w:szCs w:val="16"/>
        </w:rPr>
      </w:pPr>
    </w:p>
    <w:p w:rsidR="008B4AEC" w:rsidRPr="005D23EC" w:rsidRDefault="008B4AEC" w:rsidP="001E0ADA">
      <w:pPr>
        <w:rPr>
          <w:szCs w:val="20"/>
        </w:rPr>
      </w:pPr>
      <w:r w:rsidRPr="005D23EC">
        <w:rPr>
          <w:szCs w:val="20"/>
        </w:rPr>
        <w:t xml:space="preserve">The performance of the product identified in points 1 and 2 is in conformity with the declared performance in point </w:t>
      </w:r>
      <w:r w:rsidR="0005631E">
        <w:rPr>
          <w:szCs w:val="20"/>
        </w:rPr>
        <w:t>9</w:t>
      </w:r>
      <w:r w:rsidRPr="005D23EC">
        <w:rPr>
          <w:szCs w:val="20"/>
        </w:rPr>
        <w:t>. This declaration of performance is issued under the sole responsibility of the manufacturer identified above.</w:t>
      </w:r>
    </w:p>
    <w:p w:rsidR="001E0ADA" w:rsidRPr="005D23EC" w:rsidRDefault="001E0ADA" w:rsidP="001E0ADA">
      <w:pPr>
        <w:rPr>
          <w:szCs w:val="20"/>
        </w:rPr>
      </w:pPr>
    </w:p>
    <w:p w:rsidR="001E0ADA" w:rsidRPr="005D23EC" w:rsidRDefault="001E0ADA" w:rsidP="001E0ADA">
      <w:pPr>
        <w:rPr>
          <w:szCs w:val="20"/>
        </w:rPr>
      </w:pPr>
      <w:r w:rsidRPr="005D23EC">
        <w:rPr>
          <w:szCs w:val="20"/>
        </w:rPr>
        <w:t>Signed for and on behalf of the manufacturer by:</w:t>
      </w:r>
    </w:p>
    <w:p w:rsidR="001E0ADA" w:rsidRPr="005D23EC" w:rsidRDefault="001E0ADA">
      <w:pPr>
        <w:rPr>
          <w:szCs w:val="20"/>
        </w:rPr>
      </w:pPr>
    </w:p>
    <w:p w:rsidR="00E334D6" w:rsidRPr="005D23EC" w:rsidRDefault="00E334D6" w:rsidP="00E334D6">
      <w:pPr>
        <w:rPr>
          <w:szCs w:val="20"/>
        </w:rPr>
      </w:pPr>
      <w:r w:rsidRPr="005D23EC">
        <w:rPr>
          <w:noProof/>
          <w:szCs w:val="20"/>
          <w:lang w:eastAsia="en-GB"/>
        </w:rPr>
        <w:drawing>
          <wp:inline distT="0" distB="0" distL="0" distR="0" wp14:anchorId="7C989DEE" wp14:editId="05EFA07C">
            <wp:extent cx="1228725" cy="47882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ul Signature.tif"/>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27670" cy="478412"/>
                    </a:xfrm>
                    <a:prstGeom prst="rect">
                      <a:avLst/>
                    </a:prstGeom>
                  </pic:spPr>
                </pic:pic>
              </a:graphicData>
            </a:graphic>
          </wp:inline>
        </w:drawing>
      </w:r>
    </w:p>
    <w:p w:rsidR="00E334D6" w:rsidRPr="005D23EC" w:rsidRDefault="00E334D6" w:rsidP="00E334D6">
      <w:pPr>
        <w:rPr>
          <w:szCs w:val="20"/>
        </w:rPr>
      </w:pPr>
    </w:p>
    <w:p w:rsidR="00E334D6" w:rsidRPr="005D23EC" w:rsidRDefault="00E334D6" w:rsidP="00E334D6">
      <w:pPr>
        <w:rPr>
          <w:szCs w:val="20"/>
        </w:rPr>
      </w:pPr>
      <w:r w:rsidRPr="005D23EC">
        <w:rPr>
          <w:szCs w:val="20"/>
        </w:rPr>
        <w:t>Paul Felgate</w:t>
      </w:r>
    </w:p>
    <w:p w:rsidR="00E334D6" w:rsidRPr="005D23EC" w:rsidRDefault="00E334D6" w:rsidP="00E334D6">
      <w:pPr>
        <w:rPr>
          <w:szCs w:val="20"/>
        </w:rPr>
      </w:pPr>
    </w:p>
    <w:p w:rsidR="00E334D6" w:rsidRPr="005D23EC" w:rsidRDefault="00E334D6" w:rsidP="00E334D6">
      <w:pPr>
        <w:rPr>
          <w:szCs w:val="20"/>
        </w:rPr>
      </w:pPr>
      <w:r w:rsidRPr="005D23EC">
        <w:rPr>
          <w:szCs w:val="20"/>
        </w:rPr>
        <w:t>R &amp; D Manager</w:t>
      </w:r>
    </w:p>
    <w:p w:rsidR="00E334D6" w:rsidRPr="005D23EC" w:rsidRDefault="00E334D6" w:rsidP="00E334D6">
      <w:pPr>
        <w:rPr>
          <w:szCs w:val="20"/>
        </w:rPr>
      </w:pPr>
    </w:p>
    <w:p w:rsidR="001E0ADA" w:rsidRPr="00C83BD8" w:rsidRDefault="00672D16">
      <w:pPr>
        <w:rPr>
          <w:sz w:val="16"/>
          <w:szCs w:val="16"/>
        </w:rPr>
      </w:pPr>
      <w:r w:rsidRPr="005D23EC">
        <w:rPr>
          <w:szCs w:val="20"/>
        </w:rPr>
        <w:t>1/7/2013</w:t>
      </w:r>
    </w:p>
    <w:sectPr w:rsidR="001E0ADA" w:rsidRPr="00C83BD8">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ADA"/>
    <w:rsid w:val="00044C1F"/>
    <w:rsid w:val="0005631E"/>
    <w:rsid w:val="00060AA0"/>
    <w:rsid w:val="000954DD"/>
    <w:rsid w:val="001348D7"/>
    <w:rsid w:val="001E0ADA"/>
    <w:rsid w:val="00432EB8"/>
    <w:rsid w:val="00486A89"/>
    <w:rsid w:val="004C0DA0"/>
    <w:rsid w:val="0052726C"/>
    <w:rsid w:val="00561B52"/>
    <w:rsid w:val="005D23EC"/>
    <w:rsid w:val="00672D16"/>
    <w:rsid w:val="008B4AEC"/>
    <w:rsid w:val="008E20B7"/>
    <w:rsid w:val="00901C32"/>
    <w:rsid w:val="009746A0"/>
    <w:rsid w:val="009E10E5"/>
    <w:rsid w:val="00AB35DE"/>
    <w:rsid w:val="00BB439B"/>
    <w:rsid w:val="00C83BD8"/>
    <w:rsid w:val="00C84345"/>
    <w:rsid w:val="00E334D6"/>
    <w:rsid w:val="00F319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0E5"/>
    <w:rPr>
      <w:rFonts w:ascii="Arial" w:hAnsi="Arial"/>
      <w:szCs w:val="24"/>
    </w:rPr>
  </w:style>
  <w:style w:type="paragraph" w:styleId="Heading1">
    <w:name w:val="heading 1"/>
    <w:basedOn w:val="Normal"/>
    <w:next w:val="Normal"/>
    <w:link w:val="Heading1Char"/>
    <w:qFormat/>
    <w:rsid w:val="009E10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E10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9E10E5"/>
    <w:pPr>
      <w:keepNext/>
      <w:keepLines/>
      <w:spacing w:before="200"/>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0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E10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9E10E5"/>
    <w:rPr>
      <w:rFonts w:ascii="Arial" w:eastAsiaTheme="majorEastAsia" w:hAnsi="Arial" w:cstheme="majorBidi"/>
      <w:b/>
      <w:bCs/>
      <w:szCs w:val="24"/>
      <w:u w:val="single"/>
    </w:rPr>
  </w:style>
  <w:style w:type="paragraph" w:styleId="Title">
    <w:name w:val="Title"/>
    <w:basedOn w:val="Normal"/>
    <w:next w:val="Normal"/>
    <w:link w:val="TitleChar"/>
    <w:qFormat/>
    <w:rsid w:val="009E10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E10E5"/>
    <w:rPr>
      <w:rFonts w:asciiTheme="majorHAnsi" w:eastAsiaTheme="majorEastAsia" w:hAnsiTheme="majorHAnsi" w:cstheme="majorBidi"/>
      <w:color w:val="17365D" w:themeColor="text2" w:themeShade="BF"/>
      <w:spacing w:val="5"/>
      <w:kern w:val="28"/>
      <w:sz w:val="52"/>
      <w:szCs w:val="52"/>
    </w:rPr>
  </w:style>
  <w:style w:type="paragraph" w:customStyle="1" w:styleId="CM4">
    <w:name w:val="CM4"/>
    <w:basedOn w:val="Normal"/>
    <w:next w:val="Normal"/>
    <w:rsid w:val="001E0ADA"/>
    <w:pPr>
      <w:widowControl w:val="0"/>
      <w:autoSpaceDE w:val="0"/>
      <w:autoSpaceDN w:val="0"/>
      <w:adjustRightInd w:val="0"/>
    </w:pPr>
    <w:rPr>
      <w:rFonts w:ascii="EUAlbertina" w:eastAsia="SimSun" w:hAnsi="EUAlbertina"/>
      <w:sz w:val="24"/>
      <w:lang w:val="da-DK" w:eastAsia="zh-CN"/>
    </w:rPr>
  </w:style>
  <w:style w:type="paragraph" w:styleId="BodyText">
    <w:name w:val="Body Text"/>
    <w:basedOn w:val="Normal"/>
    <w:link w:val="BodyTextChar"/>
    <w:rsid w:val="001E0ADA"/>
    <w:rPr>
      <w:rFonts w:ascii="Times New Roman" w:eastAsia="Times New Roman" w:hAnsi="Times New Roman"/>
      <w:sz w:val="22"/>
      <w:lang w:eastAsia="nl-NL"/>
    </w:rPr>
  </w:style>
  <w:style w:type="character" w:customStyle="1" w:styleId="BodyTextChar">
    <w:name w:val="Body Text Char"/>
    <w:basedOn w:val="DefaultParagraphFont"/>
    <w:link w:val="BodyText"/>
    <w:rsid w:val="001E0ADA"/>
    <w:rPr>
      <w:rFonts w:eastAsia="Times New Roman"/>
      <w:sz w:val="22"/>
      <w:szCs w:val="24"/>
      <w:lang w:eastAsia="nl-NL"/>
    </w:rPr>
  </w:style>
  <w:style w:type="paragraph" w:customStyle="1" w:styleId="Default">
    <w:name w:val="Default"/>
    <w:rsid w:val="001E0ADA"/>
    <w:pPr>
      <w:autoSpaceDE w:val="0"/>
      <w:autoSpaceDN w:val="0"/>
      <w:adjustRightInd w:val="0"/>
    </w:pPr>
    <w:rPr>
      <w:rFonts w:eastAsia="SimSun"/>
      <w:color w:val="000000"/>
      <w:sz w:val="24"/>
      <w:szCs w:val="24"/>
      <w:lang w:val="nl-NL" w:eastAsia="nl-NL"/>
    </w:rPr>
  </w:style>
  <w:style w:type="paragraph" w:styleId="BalloonText">
    <w:name w:val="Balloon Text"/>
    <w:basedOn w:val="Normal"/>
    <w:link w:val="BalloonTextChar"/>
    <w:rsid w:val="00E334D6"/>
    <w:rPr>
      <w:rFonts w:ascii="Tahoma" w:hAnsi="Tahoma" w:cs="Tahoma"/>
      <w:sz w:val="16"/>
      <w:szCs w:val="16"/>
    </w:rPr>
  </w:style>
  <w:style w:type="character" w:customStyle="1" w:styleId="BalloonTextChar">
    <w:name w:val="Balloon Text Char"/>
    <w:basedOn w:val="DefaultParagraphFont"/>
    <w:link w:val="BalloonText"/>
    <w:rsid w:val="00E334D6"/>
    <w:rPr>
      <w:rFonts w:ascii="Tahoma" w:hAnsi="Tahoma" w:cs="Tahoma"/>
      <w:sz w:val="16"/>
      <w:szCs w:val="16"/>
    </w:rPr>
  </w:style>
  <w:style w:type="table" w:styleId="TableGrid">
    <w:name w:val="Table Grid"/>
    <w:basedOn w:val="TableNormal"/>
    <w:rsid w:val="00F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AB35D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ko-K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trong"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9E10E5"/>
    <w:rPr>
      <w:rFonts w:ascii="Arial" w:hAnsi="Arial"/>
      <w:szCs w:val="24"/>
    </w:rPr>
  </w:style>
  <w:style w:type="paragraph" w:styleId="Heading1">
    <w:name w:val="heading 1"/>
    <w:basedOn w:val="Normal"/>
    <w:next w:val="Normal"/>
    <w:link w:val="Heading1Char"/>
    <w:qFormat/>
    <w:rsid w:val="009E10E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9E10E5"/>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nhideWhenUsed/>
    <w:qFormat/>
    <w:rsid w:val="009E10E5"/>
    <w:pPr>
      <w:keepNext/>
      <w:keepLines/>
      <w:spacing w:before="200"/>
      <w:outlineLvl w:val="2"/>
    </w:pPr>
    <w:rPr>
      <w:rFonts w:eastAsiaTheme="majorEastAsia" w:cstheme="majorBid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10E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9E10E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9E10E5"/>
    <w:rPr>
      <w:rFonts w:ascii="Arial" w:eastAsiaTheme="majorEastAsia" w:hAnsi="Arial" w:cstheme="majorBidi"/>
      <w:b/>
      <w:bCs/>
      <w:szCs w:val="24"/>
      <w:u w:val="single"/>
    </w:rPr>
  </w:style>
  <w:style w:type="paragraph" w:styleId="Title">
    <w:name w:val="Title"/>
    <w:basedOn w:val="Normal"/>
    <w:next w:val="Normal"/>
    <w:link w:val="TitleChar"/>
    <w:qFormat/>
    <w:rsid w:val="009E10E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9E10E5"/>
    <w:rPr>
      <w:rFonts w:asciiTheme="majorHAnsi" w:eastAsiaTheme="majorEastAsia" w:hAnsiTheme="majorHAnsi" w:cstheme="majorBidi"/>
      <w:color w:val="17365D" w:themeColor="text2" w:themeShade="BF"/>
      <w:spacing w:val="5"/>
      <w:kern w:val="28"/>
      <w:sz w:val="52"/>
      <w:szCs w:val="52"/>
    </w:rPr>
  </w:style>
  <w:style w:type="paragraph" w:customStyle="1" w:styleId="CM4">
    <w:name w:val="CM4"/>
    <w:basedOn w:val="Normal"/>
    <w:next w:val="Normal"/>
    <w:rsid w:val="001E0ADA"/>
    <w:pPr>
      <w:widowControl w:val="0"/>
      <w:autoSpaceDE w:val="0"/>
      <w:autoSpaceDN w:val="0"/>
      <w:adjustRightInd w:val="0"/>
    </w:pPr>
    <w:rPr>
      <w:rFonts w:ascii="EUAlbertina" w:eastAsia="SimSun" w:hAnsi="EUAlbertina"/>
      <w:sz w:val="24"/>
      <w:lang w:val="da-DK" w:eastAsia="zh-CN"/>
    </w:rPr>
  </w:style>
  <w:style w:type="paragraph" w:styleId="BodyText">
    <w:name w:val="Body Text"/>
    <w:basedOn w:val="Normal"/>
    <w:link w:val="BodyTextChar"/>
    <w:rsid w:val="001E0ADA"/>
    <w:rPr>
      <w:rFonts w:ascii="Times New Roman" w:eastAsia="Times New Roman" w:hAnsi="Times New Roman"/>
      <w:sz w:val="22"/>
      <w:lang w:eastAsia="nl-NL"/>
    </w:rPr>
  </w:style>
  <w:style w:type="character" w:customStyle="1" w:styleId="BodyTextChar">
    <w:name w:val="Body Text Char"/>
    <w:basedOn w:val="DefaultParagraphFont"/>
    <w:link w:val="BodyText"/>
    <w:rsid w:val="001E0ADA"/>
    <w:rPr>
      <w:rFonts w:eastAsia="Times New Roman"/>
      <w:sz w:val="22"/>
      <w:szCs w:val="24"/>
      <w:lang w:eastAsia="nl-NL"/>
    </w:rPr>
  </w:style>
  <w:style w:type="paragraph" w:customStyle="1" w:styleId="Default">
    <w:name w:val="Default"/>
    <w:rsid w:val="001E0ADA"/>
    <w:pPr>
      <w:autoSpaceDE w:val="0"/>
      <w:autoSpaceDN w:val="0"/>
      <w:adjustRightInd w:val="0"/>
    </w:pPr>
    <w:rPr>
      <w:rFonts w:eastAsia="SimSun"/>
      <w:color w:val="000000"/>
      <w:sz w:val="24"/>
      <w:szCs w:val="24"/>
      <w:lang w:val="nl-NL" w:eastAsia="nl-NL"/>
    </w:rPr>
  </w:style>
  <w:style w:type="paragraph" w:styleId="BalloonText">
    <w:name w:val="Balloon Text"/>
    <w:basedOn w:val="Normal"/>
    <w:link w:val="BalloonTextChar"/>
    <w:rsid w:val="00E334D6"/>
    <w:rPr>
      <w:rFonts w:ascii="Tahoma" w:hAnsi="Tahoma" w:cs="Tahoma"/>
      <w:sz w:val="16"/>
      <w:szCs w:val="16"/>
    </w:rPr>
  </w:style>
  <w:style w:type="character" w:customStyle="1" w:styleId="BalloonTextChar">
    <w:name w:val="Balloon Text Char"/>
    <w:basedOn w:val="DefaultParagraphFont"/>
    <w:link w:val="BalloonText"/>
    <w:rsid w:val="00E334D6"/>
    <w:rPr>
      <w:rFonts w:ascii="Tahoma" w:hAnsi="Tahoma" w:cs="Tahoma"/>
      <w:sz w:val="16"/>
      <w:szCs w:val="16"/>
    </w:rPr>
  </w:style>
  <w:style w:type="table" w:styleId="TableGrid">
    <w:name w:val="Table Grid"/>
    <w:basedOn w:val="TableNormal"/>
    <w:rsid w:val="00F319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rsid w:val="00AB35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800799">
      <w:bodyDiv w:val="1"/>
      <w:marLeft w:val="0"/>
      <w:marRight w:val="0"/>
      <w:marTop w:val="0"/>
      <w:marBottom w:val="0"/>
      <w:divBdr>
        <w:top w:val="none" w:sz="0" w:space="0" w:color="auto"/>
        <w:left w:val="none" w:sz="0" w:space="0" w:color="auto"/>
        <w:bottom w:val="none" w:sz="0" w:space="0" w:color="auto"/>
        <w:right w:val="none" w:sz="0" w:space="0" w:color="auto"/>
      </w:divBdr>
    </w:div>
    <w:div w:id="1933082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tiff"/><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659</Words>
  <Characters>3885</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Kingspan Insulation Limited</Company>
  <LinksUpToDate>false</LinksUpToDate>
  <CharactersWithSpaces>4535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Joel Clarke</dc:creator>
  <cp:lastModifiedBy>Paul Felgate</cp:lastModifiedBy>
  <cp:revision>2</cp:revision>
  <cp:lastPrinted>2014-07-10T13:17:00Z</cp:lastPrinted>
  <dcterms:created xsi:type="dcterms:W3CDTF">2014-07-10T16:01:00Z</dcterms:created>
  <dcterms:modified xsi:type="dcterms:W3CDTF">2014-07-10T16:01:00Z</dcterms:modified>
</cp:coreProperties>
</file>